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E-3737/2015 vom 14. Dezember 2015</w:t>
      </w:r>
    </w:p>
    <w:p>
      <w:r>
        <w:t>Bundesverwaltungsgericht, 2015-12-14, DE</w:t>
      </w:r>
    </w:p>
    <w:p>
      <w:r>
        <w:rPr>
          <w:b/>
        </w:rPr>
        <w:t xml:space="preserve">Quelle: </w:t>
      </w:r>
      <w:r>
        <w:t>https://mcp.opencaselaw.ch/entscheid/bvger_E-3737_2015</w:t>
      </w:r>
    </w:p>
    <w:p>
      <w:r>
        <w:t>FR: TAF E-3737/2015 du 14 décembre 2015</w:t>
      </w:r>
    </w:p>
    <w:p>
      <w:r>
        <w:t>IT: TAF E-3737/2015 del 14 dicembre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Soweit die Frage des Nichteintretens auf das Asylgesuch des Beschwerdeführers betreffend (Dispositivziffer 1), ist die angefochtene Verfügung des SEM unangefochten in Rechtskraft erwachsen, und auch die Anordnung der Wegweisung (Ziff. 2 des Dispositivs) ist grundsätzlich nicht mehr zu überprüfen (vgl. BVGE 2009/50 m.w.H.), nachdem sich die vorliegende Beschwerdeeingabe ausdrücklich nur gegen den angeordneten Vollzug der Wegweisung richtet (vgl. angefochtene Verfügung, Ziff. 3 und 4 des Dispositivs).</w:t>
      </w:r>
    </w:p>
    <w:p>
      <w:r>
        <w:rPr>
          <w:b/>
        </w:rPr>
        <w:t>E. 4.1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führte zur Begründung seiner Verfügung im Vollzugspunkt aus, der Grundsatz der Nichtrückschiebung gemäss Art. 5 Abs. 1 AsylG könne nicht angewendet werden, und es würden sich aus den Akten keine Anhaltspunkte ergeben, dass dem Beschwerdeführer in seinem Heimatstaat mit beachtlicher Wahrscheinlichkeit eine durch Art. 3 EMRK verbotene Strafe oder Behandlung drohe. Die gewaltsamen Konflikte im Irak würden sich auf den Zentral- und den Südirak konzentrieren, während die KRG-Region davon kaum betroffen sei. Die Auswirkungen der Flüchtlingswelle, die durch die Einnahme Mosuls durch den IS ausgelöst worden sei, auf den kurdischen Teil des Nordiraks seien nicht derart gravierend, dass für die einheimische Bevölkerung von einer konkreten Gefährdung im Sinn von Art. 83 Abs. 4 AuG ausgegangen werden müsse. Die kurdischen Provinzen Iraks seien gegenwärtig auch nicht von einem konkreten Angriff des IS bedroht. In Anbetracht der Sicherheits- und Menschenrechtslage in der KRG-Region herrsche dort keine Situation allgemeiner Gewalt. Diese Einschätzung stehe im Einklang mit der Wegweisungspraxis diverser Staaten der Europäischen Union (EU).</w:t>
      </w:r>
    </w:p>
    <w:p>
      <w:r>
        <w:rPr>
          <w:b/>
        </w:rPr>
        <w:t>E. 5.2</w:t>
      </w:r>
    </w:p>
    <w:p>
      <w:r>
        <w:t>Der Beschwerdeführer verwies zur Begründung seiner Beschwerde darauf, die SFH habe mit Medienmitteilung vom 12. November 2014 gestützt auf Empfehlungen des Amts des Hohen Flüchtlingskommissars der Vereinten Nationen (UNHCR) einen Wegweisungsstopp für das gesamte Gebiet des Irak, insbesondere auch für den Nordirak, gefordert. In den Reisehinweisen des Eidgenössischen Departements für auswärtige Angelegenheiten (EDA) werde von Reisen in den Irak gewarnt, was mit Einschränkungen auch für die KRG-Region gelte, und es werde dabei auf die angespannte Sicherheitslage verwiesen. Namentlich seien in Erbil bei Selbstmordanschlägen am 19. November 2014 und 17. April 2015 mehrere Menschen getötet oder verletzt worden. Einem Bericht von Amnesty International vom 14. Juli 2014 zufolge seien auch im Nordirak Kriegs­verbrechen dokumentiert. Viele Zivilpersonen müssten wegen den Aus­einandersetzungen zwischen dem IS und den Regierungsstreitkräften fliehen, und das Völkerrecht werde missachtet. Auch das HEKS habe berichtet, dass die Lage der Zivilbevölkerung sich in den letzten Monaten weiter verschärft habe und viele Personen zur Flucht in weniger umkämpfte Gebiete gezwungen seien. Es würden demnach ernsthafte Indizien dafür vorliegen, dass er in seiner Heimatregion konkret und ernsthaft gefährdet wäre. Unter diesen Umständen sei der Wegweisungsvollzug aus humanitären Gründen nicht zu verantworten und deshalb nicht zu vollziehen.</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w:t>
      </w:r>
    </w:p>
    <w:p>
      <w:r>
        <w:rPr>
          <w:b/>
        </w:rPr>
        <w:t>E. 6.2.1</w:t>
      </w:r>
    </w:p>
    <w:p>
      <w:r>
        <w:t>Der Beschwerdeführer hat zur Begründung seines dritten Asyl­gesuchs nicht einmal mehr behauptet, er sei Flüchtling im Sinn des Asylgesetzes (und auch darauf verzichtet, den Nichteintretensentscheid als solchen anzufechten); offensichtlich ging es ihm beim Einreichen seines dritten Asylgesuchs einzig darum, die erneute Prüfung der Durchführbarkeit des Vollzugs der Wegweisung herbeizuführen und eine vorläufige Aufnahme in der Schweiz zu erlangen.</w:t>
      </w:r>
    </w:p>
    <w:p>
      <w:r>
        <w:rPr>
          <w:b/>
        </w:rPr>
        <w:t>E. 6.2.2</w:t>
      </w:r>
    </w:p>
    <w:p>
      <w:r>
        <w:t>Nachdem der Beschwerdeführer nicht Flüchtling ist, kann der in Art. 5 AsylG verankerte Grundsatz der Nichtrückschiebung im vorliegenden Verfahren keine Anwendung finden. Eine Rückkehr des Beschwerdefüh­rers in den Heimatstaat ist demnach unter dem Aspekt von Art. 5 AsylG rechtmässig.</w:t>
      </w:r>
    </w:p>
    <w:p>
      <w:r>
        <w:rPr>
          <w:b/>
        </w:rPr>
        <w:t>E. 6.3.1</w:t>
      </w:r>
    </w:p>
    <w:p>
      <w:r>
        <w:t>Sodann ergeben sich weder aus den Aussagen des Beschwerdeführers noch aus den Akten konkrete Anhaltspunkte dafür, dass er für den Fall einer erneuten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wie nachfolgend ausgeführt wird, nicht.</w:t>
      </w:r>
    </w:p>
    <w:p>
      <w:r>
        <w:rPr>
          <w:b/>
        </w:rPr>
        <w:t>E. 6.3.2</w:t>
      </w:r>
    </w:p>
    <w:p>
      <w:r>
        <w:t>Die allgemeine Menschenrechtslage in der Herkunftsregion des Beschwerdeführers lässt den Wegweisungsvollzug zum heutigen Zeit­punkt nicht als unzulässig erscheinen: In seinem Urteil E-847/2014 vom 13. April 2015 hatte das Bundesverwaltungsgericht festgestellt, dass der Vollzug der Wegweisung eines Kurden in die KRG-Region nicht generell unzulässig sei (die Unzumutbarkeit und Unmöglichkeit des Wegweisungsvollzugs waren hier infolge Anwendung der Ausschluss­bestimmung von Art. 83 Abs. 7 Bst. a AuG nicht zu prüfen); das Gericht hielt dabei fest, dass die Hürde für die Annahme einer grundsätzlichen völkerrechtlichen Unzulässigkeit des Wegweisungsvollzugs nach Lehre und Praxis höher liege als bei der Feststellung einer generellen Unzumutbarkeit (vgl. E. 8.2.2).</w:t>
      </w:r>
    </w:p>
    <w:p>
      <w:r>
        <w:rPr>
          <w:b/>
        </w:rPr>
        <w:t>E. 6.4</w:t>
      </w:r>
    </w:p>
    <w:p>
      <w:r>
        <w:t>Nach dem Gesagten erweist sich der Vollzug der Wegweisung des Beschwerdeführers als völkerrechtlich zulässig.</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Der Beschwerdeführer kurdischer Ethnie stammt aus B._______, Provinz Suleimaniya in der KRG-Region, wo gemäss bisheriger Aktenlage auch seine Familie lebt.</w:t>
      </w:r>
    </w:p>
    <w:p>
      <w:r>
        <w:rPr>
          <w:b/>
        </w:rPr>
        <w:t>E. 7.2.2</w:t>
      </w:r>
    </w:p>
    <w:p>
      <w:r>
        <w:t>Die Behauptung in der Eingabe vom 21. August 2015, alle Angehörigen seien seit vier Wochen verschollen, ist gänzlich unsubstanziiert und in keiner Weise belegt. Das neue Vorbringen erscheint zudem als unlogisch beziehungsweise lebensfremd: Einerseits ist es im Zeitalter der - auch im Irak verbreiteten - mobilen Telekommunikation schwer vorstellbar, dass gerade sämtliche Angehörigen der Familie des Beschwerdeführers nicht mehr erreichbar sein sollen. Andererseits wäre die offenbar geordnete Auflösung aller Haushalte in Suleimaniya kaum mit der angeblich völlig vagen Nennung des Umzugsziels ("in Richtung Türkei") gegenüber dem Sohn respektive Bruder zu vereinbaren; auch die Vermutung, eventuell würden sich die Verwandten heute ja immer noch an unbekanntem Ort im Nordirak aufhalten, ist unter den geschilderten Umständen kaum nachvollziehbar. An dieser Stelle ist festzuhalten, dass die Kernvorbringen zur Begründung der beiden ersten Asylgesuche als im Wesentlichen unglaubhaft zu qualifizieren waren. Bei dieser Akten­lage ist davon auszugehen, dass die Angehörigen des Beschwerdeführers nach wie vor in Suleimaniya leben. Weitere Abklärungen erweisen sich in diesem Zusammenhang nicht als erforderlich.</w:t>
      </w:r>
    </w:p>
    <w:p>
      <w:r>
        <w:rPr>
          <w:b/>
        </w:rPr>
        <w:t>E. 7.3.1</w:t>
      </w:r>
    </w:p>
    <w:p>
      <w:r>
        <w:t>Im publizierten Urteil BVGE 2008/5 - in dem eine einlässliche Auseinandersetzung mit der Frage der Zumutbarkeit des Wegweisungsvollzugs in die drei damaligen kurdischen Provinzen des Nordiraks (Dohuk, Erbil, Suleimaniya) stattfand - hielt das Gericht fest, dass sich sowohl die Sicherheits- als auch die Menschenrechtslage in dieser Region im Verhältnis zum restlichen Irak relativ gut darstelle. Gestützt darauf kam es zum Schluss, dass ein Wegweisungsvollzug in die Provinzen Dohuk, Erbil und Suleimaniya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insbesondere E. 7.5.1 und 7.5.8). Diese Praxis wurde in den folgenden Jahren in zahllosen Urteilen des Bundesverwaltungsgerichts umgesetzt und bekräftigt.</w:t>
      </w:r>
    </w:p>
    <w:p>
      <w:r>
        <w:rPr>
          <w:b/>
        </w:rPr>
        <w:t>E. 7.3.2</w:t>
      </w:r>
    </w:p>
    <w:p>
      <w:r>
        <w:t>Die Lage im Nordirak hat sich seit dem Auftreten des IS in Syrien und im Irak verändert, und es stellt sich die Frage, ob der Zumutbarkeits­praxis gemäss BVGE 2008/5 weiterhin zu folgen ist. Soweit feststellbar hat das Bundesverwaltungsgericht letztmals Anfang dieses Jahres die Zumutbarkeit des Vollzugs der Wegweisung eines aus der KRG-Region stammenden Kurden uneingeschränkt bejaht (respektive festgestellt, dass das SEM in diesem Zusammenhang zu Recht das Vorliegen relevanter Wiedererwägungsgründe verneint habe; vgl. Urteil E-403/2015 vom 27. Janu­ar 2015 E. 4). In den letzten Monaten wurden hingegen mehrere Verfügungen des SEM in diesem Punkt aufgehoben und die Akten wegen Verletzung der Begründungspflicht und für weitere Abklärungen - auch der individuellen Lebensumstände der betroffenen Asylsuchenden in ihrer Heimatregion - an die Vorinstanz zurückgewiesen (vgl. etwa Urteile D-2157/2014 vom 10. Juli 2015 E. 7 ff., D-5091/2014 vom 28. Mai 2015 E. 4.2 oder E-1996/2014 vom 19. Februar 2015 E. 7.3).</w:t>
      </w:r>
    </w:p>
    <w:p>
      <w:r>
        <w:rPr>
          <w:b/>
        </w:rPr>
        <w:t>E. 7.4.1</w:t>
      </w:r>
    </w:p>
    <w:p>
      <w:r>
        <w:t>Neben dem anhaltenden Konflikt in Syrien (vgl. z.B. Neue Zürcher Zeitung [NZZ], Chronik der Ereignisse, Syriens Absturz in den Bürgerkrieg, 23. Januar 2014) hat insbesondere auch der Vormarsch des IS eine Flüchtlingswelle ausgelöst, wobei ein Grossteil der im Irak intern vertriebenen Personen, aber auch zahlreiche Flüchtlinge aus Syrien in den kurdischen Provinzen Nordiraks Zuflucht gefunden haben.</w:t>
      </w:r>
    </w:p>
    <w:p>
      <w:r>
        <w:rPr>
          <w:b/>
        </w:rPr>
        <w:t>E. 7.4.2</w:t>
      </w:r>
    </w:p>
    <w:p>
      <w:r>
        <w:t>Nach Feststellung des Gerichts konzentriert sich der bewaffnete Konflikt zwischen dem IS und den irakischen Regierungskräften im Wesentlichen auf die Provinzen Al-Anbar, Ninive, Salah Al-Din, Diyala, Kirkuk und Babel. Mit dem Vorstoss des IS an die Grenze der Kurdenprovinzen kam es wiederholt zu Gefechten zwischen den Peschmerga und den Kämpfern des IS in den angrenzenden Provinzen Ninive und Diyala. Die Sicherheitslage innerhalb der Autonomen Kurdischen Region ist zwar aufgrund dieser Umstände angespannt, aber grundsätzlich weiterhin stabil (vgl. zum Ganzen etwa UNHCR, UNHCR Position on Returns to Iraq, Oktober 2014, S. 6, Ziff. 15; Alexandra Geiser, SFH, IRAK: Update: Sicherheitssituation in der KRG-Region, Auskunft, 28. März 2015, S. 4; British Home Office, Country Information and Guidance, Iraq: Security Situation in Baghdad, Southern Governorates and the Kurdistan Region of Iraq [KRI], April 2015, S. 9 und S. 46 ff.). Bisher waren eigent­liche militärische Auseinandersetzungen mit dem IS innerhalb der KRG-Region nicht zu verzeichnen; der Rückzug der zentral-irakischen Armee aus Gebieten, die an das KRG-Gebiet angrenzen, hat es den kurdischen Peschmerga im Herbst 2014 sogar ermöglicht, ihr Herrschaftsgebiet faktisch zu erweitern (vgl. etwa http://www.spiegel.de/politik/ausland/irak-kurden-uebernehmen-kontrolle-ueber-oel-stadt-kirkuk-a-974705.html, besucht am 12. Au­gust 2015). Bei den Kämpfen entlang der Grenze zum KRG-Gebiet ist es den durch die Luftwaffe und Waffenlieferungen der alliierten Truppen unterstützten Peschmerga bisher gelungen, einen Vormarsch des IS in das KRG-Gebiet zu verhindern. Mitte November 2015 konnten sie den IS aus der Region nordöstlich des kurdischen Auto­nomiegebiets vertreiben (vgl. etwa NZZ vom 13. November 2015: Kurden nehmen die Stadt Sinjar ein).</w:t>
      </w:r>
    </w:p>
    <w:p>
      <w:r>
        <w:rPr>
          <w:b/>
        </w:rPr>
        <w:t>E. 7.4.3</w:t>
      </w:r>
    </w:p>
    <w:p>
      <w:r>
        <w:t>Die Feststellung einer stabilen Sicherheitslage gilt auch für die Provinz Suleimaniya, was dort zu einem grossen Zustrom an intern vertriebenen Personen (Internally Displaced Persons, IDP) geführt hat. Die wachsende Bevölkerungszahl stellt eine Belastung der lokalen Wirtschaft und Infrastruktur dar und erschwert die Grundversorgung (vgl. International Organization for Migration [IOM], Iraq Mission, Suleimaniya Gover­norate Profile, May 2015).</w:t>
      </w:r>
    </w:p>
    <w:p>
      <w:r>
        <w:rPr>
          <w:b/>
        </w:rPr>
        <w:t>E. 7.4.4</w:t>
      </w:r>
    </w:p>
    <w:p>
      <w:r>
        <w:t>Zum Schutz vor Infiltranten oder Sympathisanten des IS hat das KRG die Einreisebedingungen und die Sicherheitsvorkehrungen verschärft (vgl. The Jamestown Foundation, Hot Issue: Iraqi Kurdistan's New Security Challenges, 26. Juni 2014; CNN, Iraq crisis: Kurdish authorities place tight restrictions on border crossing, 28. Juni 2014; Agence France Presse, Fleeing Shiite Turkmen caught in Iraq limbo, 2. Juli 2014; Alexandra Geiser, a.a.O., S. 5 f. und 10). Die lokale Bevölkerung soll Vertriebenen und Rückkehrern mit Misstrauen und Argwohn begegnen (vgl. Middle East Monitor, Kurdistan's haven of safety Erbil now fears the threat of the Islamic State, 15. August 2014).</w:t>
      </w:r>
    </w:p>
    <w:p>
      <w:r>
        <w:rPr>
          <w:b/>
        </w:rPr>
        <w:t>E. 7.4.5</w:t>
      </w:r>
    </w:p>
    <w:p>
      <w:r>
        <w:t>Bei dieser Sachlage stellt das Gericht auch unter Berücksichtigung der mit der Beschwerde eingereichten Lageberichte fest, dass in den vier Provinzen der Autonomen Kurdischen Region (das KRG-Gebiet wird seit Anfang 2015 durch die Provinzen Dohuk, Erbil, Suleimaniya sowie der von Letzterer abgespalteten Provinz Halabja gebildet) heute nach wie vor nicht von einer Situation allgemeiner Gewalt im Sinn von Art. 83 Abs. 4 AuG auszugehen ist und keine konkreten Anhaltspunkte für die Annahme vorliegen, dies werde sich in absehbarer Zeit massgeblich verändern. Die langjährige Praxis gemäss BVGE 2008/5 für aus dieser Region stammende Kurden bleibt somit grundsätzlich weiterhin anwendbar. Angesichts der Belastung der behördlichen Infrastrukturen durch IDP ist allerdings jeweils der Prüfung des Vorliegens begünstigender individueller Faktoren - insbesondere denjenigen eines tragfähigen familiären Beziehungsnetzes (vgl. auch BVGE 2008/5 E. 7.5) - besonderes Gewicht beizumessen.</w:t>
      </w:r>
    </w:p>
    <w:p>
      <w:r>
        <w:rPr>
          <w:b/>
        </w:rPr>
        <w:t>E. 7.4.6</w:t>
      </w:r>
    </w:p>
    <w:p>
      <w:r>
        <w:t>Die Frage, ob das KRG-Gebiet für Kurden oder Angehörige anderer Ethnien, die selber nicht aus dieser Region stammen, angesichts der verschärften Einreisebedingungen und der grossen Zahl von IDP in diesen Provinzen unter ganz spezifischen Umständen weiterhin eine zumutbare innerstaatliche Ausweichsmöglichkeit darstellen könnte (vgl. BVGE 2008/5 E. 7.5, ins­bes. 7.5.8), stellt sich im Rahmen des vorliegenden Verfahrens nicht und kann deshalb hier offen bleiben.</w:t>
      </w:r>
    </w:p>
    <w:p>
      <w:r>
        <w:rPr>
          <w:b/>
        </w:rPr>
        <w:t>E. 7.5</w:t>
      </w:r>
    </w:p>
    <w:p>
      <w:r>
        <w:t>Beim Verfahren des Beschwerdeführers besteht die Besonderheit, dass das Bundesverwaltungsgericht die Frage der individuellen Zumutbarkeit des Vollzugs der Wegweisung in seine Heimatregion bereits zweimal geprüft und - unter besonderem Hinweis auf das tragfähige familiäre Beziehungsnetz in Suleimaniya und die Berufserfahrungen des Beschwerdeführers - klar bejaht hat (vgl. Urteile E-7424/2009 vom 3. Dezember 2009 S. 9 f. und E-4079/2012 vom 13. August 2012 S. 5). Eine Veränderung der persönlichen Verhältnisse wurde im Gesuch vom 27. Februar 2015 und in der hier zu beurteilenden Beschwerde nicht geltend gemacht. Beim Beschwerdeführer handelt es sich gemäss Akten um einen (...)-jährigen und (soweit feststellbar) gesunden Mann ohne familiäre Verpflichtungen. Er verfügt in seinem Herkunftsort nach dem oben Gesagten über Familienangehörige und damit über ein soziales Netz, auf dessen Unterstützung er zählen kann. Es gibt bei dieser Aktenlage nach wie vor keinen Grund zur Annahme, er würde bei seiner erneuten Rückkehr zu den Angehörigen in eine existenzbedrohende Situation geraten.</w:t>
      </w:r>
    </w:p>
    <w:p>
      <w:r>
        <w:rPr>
          <w:b/>
        </w:rPr>
        <w:t>E. 7.6</w:t>
      </w:r>
    </w:p>
    <w:p>
      <w:r>
        <w:t>Nach dem Gesagten erweist sich der Vollzug der Wegweisung des Beschwerdeführers auch weiterhin als zumutbar.</w:t>
      </w:r>
    </w:p>
    <w:p>
      <w:r>
        <w:rPr>
          <w:b/>
        </w:rPr>
        <w:t>E. 7.7</w:t>
      </w:r>
    </w:p>
    <w:p>
      <w:r>
        <w:t>An diesen Feststellungen vermag auch der Umstand nichts zu ändern, dass sich mehrere potenzielle Arbeitgeber lobend über den Beschwerdeführer geäussert haben (vgl. Eingabe vom 31. August 2015).</w:t>
      </w:r>
    </w:p>
    <w:p>
      <w:r>
        <w:rPr>
          <w:b/>
        </w:rPr>
        <w:t>E. 8</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AuG).</w:t>
      </w:r>
    </w:p>
    <w:p>
      <w:r>
        <w:rPr>
          <w:b/>
        </w:rPr>
        <w:t>E. 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wird zur Bezahlung der Verfahrenskosten verwendet, die damit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