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E-3732/2019 vom 7. August 2019</w:t>
      </w:r>
    </w:p>
    <w:p>
      <w:r>
        <w:t>Bundesverwaltungsgericht, 2019-08-07, DE</w:t>
      </w:r>
    </w:p>
    <w:p>
      <w:r>
        <w:rPr>
          <w:b/>
        </w:rPr>
        <w:t xml:space="preserve">Quelle: </w:t>
      </w:r>
      <w:r>
        <w:t>https://mcp.opencaselaw.ch/entscheid/bvger_E-3732_2019</w:t>
      </w:r>
    </w:p>
    <w:p>
      <w:r>
        <w:t>FR: TAF E-3732/2019 du 7 août 2019</w:t>
      </w:r>
    </w:p>
    <w:p>
      <w:r>
        <w:t>IT: TAF E-3732/2019 del 7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w:t>
      </w:r>
    </w:p>
    <w:p>
      <w:r>
        <w:t>Die Vorinstanz kommt in der angefochtenen Verfügung zum Schluss, die Vorbringen des Beschwerdeführers würden keine Asylrelevanz entfalten. Zudem bestünden an den Angaben zu seinem familiären Beziehungsnetz erhebliche Zweifel. Namentlich sei schwer nachvollziehbar, dass er nach Beginn der angeblichen Probleme mit seinem Vater keinen Kontakt zu den anderen Familienmitgliedern gesucht habe, seine Mutter trotzdem wegen der Erkrankung seines Vaters diskriminiert worden sei und sie den Beschwerdeführer nach all den Jahren plötzlich kontaktiert habe.</w:t>
      </w:r>
    </w:p>
    <w:p>
      <w:r>
        <w:rPr>
          <w:b/>
        </w:rPr>
        <w:t>E. 6</w:t>
      </w:r>
    </w:p>
    <w:p>
      <w:r>
        <w:t>Die angefochtene Verfügung ist - trotz ihrer Kürze - ausreichend begründet, zumal sich die Vorinstanz nicht mit jedem Argument auseinanderzusetzen braucht. Dass eine sachgerechte Anfechtung möglich war, zeigt die Beschwerde selbst. Der Sachverhalt ist ausreichend abgeklärt. Die entsprechenden Rügen sind unbegründet. Der Rechtsmitteleingabe gelingt es ferner nicht aufzuzeigen, inwiefern die vorinstanzliche Verfügung Bundesrecht verletzen oder zu einer rechtsfehlerhaften Sachverhaltsfeststellung führen soll. Solches ist auch nicht ersichtlich. Die geltend gemachten wirtschaftlichen Probleme sind nicht asylrelevant und die anderen Vorbringen sind zudem unglaubhaft. Namentlich wusste der Beschwerdeführer anlässlich der Erstbefragung nicht, woran sein Vater erkrankt war (SEM-Akten, A15, S. 7). Umso mehr verwundert die Sicherheit, mit der er in der Zweitbefragung und insbesondere auf Beschwerdeebene die (...)-Erkrankung hervorhob (z. B. SEM-Akten, A28, S. 9). Vor dem Hintergrund, dass er bereits in der Erstbefragung mündlich und schriftlich die Kenntnisnahme der Vertraulichkeit sowie seiner Wahrheits- und Vollständigkeitspflicht bestätigte, vermag sein Erklärungsversuch - er habe erst später herausgefunden, dass seine Aussagen vertraulich behandelt würden - nicht zu überzeugen (SEM-Akten, A15, S. 1 f. und A28, S. 12). Einer Befragung zur Person kommt zwar nicht dieselbe Gewichtung wie einer Anhörung zu. Klare asylrelevante Aussagen, die in der Erstbefragung von den späteren Aussagen indessen diametral abweichen, sind Widersprüche, die im Rahmen der Beweiswürdigung zu berücksichtigen sind (so bereits Entscheidungen und Mitteilungen der Schweizerischen Asylrekurskommission [EMARK] 1993 Nr. 3 E. 3 S. 13). Neben weiteren Widersprüchen zwischen den Befragungen, ist es dem Beschwerdeführer nach der angeblichen Erkrankung seines Vaters im Jahr 2013 dennoch gelungen, ungefähr zwei weitere Jahre in seiner Heimatregion zu bleiben und im nahe gelegenen Nachbardorf eine fast einjährige Arbeitsstelle in einem Restaurant anzutreten. Wäre er im somalischen Kontext - wie behauptet - diskriminiert und ausgeschlossen worden, hätte er keine Stelle im Nachbardorf erhalten. Dass ihn sein Vater gebissen haben soll, um ihn mit (...) zu infizieren, scheint weit hergeholt. Die auf Beschwerdeebene eingereichten Fotos sind nicht geeignet, diesen Sachverhalt zu belegen. Gegen eine ernsthafte Diskriminierung oder gar einen Ausschluss aus dem Clan spricht auch die Tatsache, dass der Beschwerdeführer offensichtlich guten Kontakt zu seinem ehemaligen Nachbarn hat und über «zahlreiche Facebook Kontakte» verfügt (Beschwerde, S. 3 f.). Hinzu kommt, dass er im Verlauf des vorinstanzlichen Verfahrens verschiedene Geburtsdaten angegeben hat, was zusätzliche Zweifel an der Glaubhaftigkeit seiner Angaben zulässt. Die Beschwerdeausführungen sind nicht geeignet, zu einer von der Vorinstanz abweichenden Betrachtungsweise zu gelangen, zumal den vorinstanzlichen Erwägungen nichts Substanzielles entgegengehalten und lediglich am Wahrheitsgehalt der im vorinstanzlichen Verfahren geltend gemachten Vorbringen festgehalten wird und die Ausführungen insbesondere auf die (...)-Erkrankung des Vaters gestützt werden, von welcher der Beschwerdeführer in der Erstbefragung nichts wusste. Daher ist auch auf die Beschwerdeausführungen zu Nachteilen, die Kinder von (...)-Kranken in Somalia erleiden können, nicht weiter einzugehen. Medizinische Abklärungen den Beschwerdeführer betreffend sind nicht geeignet, am Beweisergebnis etwas zu ändern. Mithin kann in antizipierter Beweiswürdigung auf medizinische Abklärungen verzichtet werden. Der entsprechende Eventualantrag ist abzuweisen. Die Vorinstanz hat im Ergebnis zu Recht das Asylgesuch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Somalia ist demnach unter dem Aspekt von Art. 5 AsylG rechtmässig. Sodann ergeben sich weder aus Akten noch aus der Beschwerde Anhaltspunkte dafür, dass der Beschwerdeführer für den Fall einer Ausschaffung nach Somalia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7.3</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in seiner Praxis davon aus, dass der Vollzug der Wegweisung in den zentralen und südlichen Teil von Somalia grundsätzlich unzumutbar ist, ein solcher in die nördliche Landesteile (Somaliland und Puntland) jedoch erfolgen kann (vgl. Urteil des BVGer D-4321/2018 vom 6. September 2018 u.H.a. BVGE 2014/27 E. 6.5; wobei sich die Rechtsprechung von BVGE 2014/27 nur bedingt auf die vorliegende Konstellation übertragen lässt, zumal es sich in casu nicht um frauenspezifische Fluchtgründe oder um die Zumutbarkeit einer innerstaatlichen Fluchtalternative handelt, sondern um die Zumutbarkeit einer Rückkehr in die ursprüngliche Herkunftsregion). Es liegen auch keine individuellen Vollzugshindernisse vor. Der junge und gesunde Beschwerdeführer - der bereits in jungen Jahren einen hohen Grad an Selbstständigkeit aufwies - verfügt in Somalia über Schulbildung (fünf Jahre Abendschule), Arbeitserfahrung in verschiedenen Bereichen, Bekannte (bei denen er übernachten konnte, z. B. SEM-Akten, A15, S. 7) und Verwandte (auf deren Hilfe er in Not bereits zurückgreifen konnte, z. B. SEM-Akten, A28, S. 11). Seinen Erklärungen, weshalb ihn sein Onkel - der 7'000 Dollar für seine Reise zahlte - jetzt plötzlich nicht mehr unterstützen würde, überzeugen nicht (z. B. Beschwerde, S. 5). Zudem hat er offensichtlich «zahlreiche Facebook Kontakte» und Kontakt zu seinem früheren Nachbarn (Beschwerde, S. 3 f.). Ob er tatsächlich Probleme mit seinem Vater hatte oder nicht, kann dahingestellt bleiben, konnte er doch nach deren angeblichem Beginn im Jahr 2013 noch bis 2015 vor Ort sowie im Nachbardorf leben und arbeiten. Von der damaligen Arbeit im Restaurant konnte er sogar etwas ansparen (SEM-Akten, A25, S. 11). Dass er zwischenzeitlich auf der Strasse geschlafen haben soll, ist bedauerlich, ändert - vor dem Hintergrund der hilfsbereiten Bekannten und Verwandten - jedoch nichts. Zudem gehört der Beschwerdeführer zu einem in seiner Region etablierten Clan und haben sich seine Vorbringen zur Diskriminierung als unglaubhaft herausgestellt. Was die auf Beschwerdeebene geltend gemachten medizinischen Vorbringen anbelangt, erschöpfen sich diese in reinen Vermutungen. Gesundheitsprobleme sind weder aktenkundig, noch wurden entsprechende Arztberichte auf Beschwerdeebene eingereicht. Schliesslich ist auf die Möglichkeit hinzuweisen, individuelle Rückkehrhilfe zu beantragen, was ihm die wirtschaftliche Wiedereingliederung vor Ort weiter erleichtern dürfte (vgl. auch Art. 73 ff. AsylG). Der Vollzug der Wegweisung ist sowohl in genereller als auch in individueller Hinsicht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entsprechende Beschwerdeantrag ist abzuweisen.</w:t>
      </w:r>
    </w:p>
    <w:p>
      <w:r>
        <w:rPr>
          <w:b/>
        </w:rPr>
        <w:t>E. 8</w:t>
      </w:r>
    </w:p>
    <w:p>
      <w:r>
        <w:t>Aus diesen Erwägungen ergibt sich, dass die angefochtene Verfügung Bundesrecht nicht verletzt und auch sonst nicht zu beanstanden ist (Art. 106 AsylG und Art. 49 VwVG). Die Beschwerde ist abzuweisen. Nach dem Gesagten besteht auch kein Grund zur Rückweisung der Sache an die Vorinstanz. Der entsprechende Beschwerdeantrag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