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E-3725/2016 vom 4. August 2016</w:t>
      </w:r>
    </w:p>
    <w:p>
      <w:r>
        <w:t>Bundesverwaltungsgericht, 2016-08-04, DE</w:t>
      </w:r>
    </w:p>
    <w:p>
      <w:r>
        <w:rPr>
          <w:b/>
        </w:rPr>
        <w:t xml:space="preserve">Quelle: </w:t>
      </w:r>
      <w:r>
        <w:t>https://mcp.opencaselaw.ch/entscheid/bvger_E-3725_2016</w:t>
      </w:r>
    </w:p>
    <w:p>
      <w:r>
        <w:t>FR: TAF E-3725/2016 du 4 août 2016</w:t>
      </w:r>
    </w:p>
    <w:p>
      <w:r>
        <w:t>IT: TAF E-3725/2016 del 4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w:t>
      </w:r>
    </w:p>
    <w:p>
      <w:r>
        <w:rPr>
          <w:b/>
        </w:rPr>
        <w:t>E. 1.3</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hat aufgrund der - im Rahmen des Informationsbegehrens vom 19. Mai 2016 erhaltenen - Auskunft der polnischen Behörden, wonach der Beschwerdeführerin ein vom (...) Februar 2016 bis (...) März 2016 gültiges Visum für Polen ausgestellt worden sei, zu Recht die Zuständigkeit Polens erkannt und die polnischen Behörden - gestützt auf Art. 12 Abs. 4 Dublin-III-VO - um Übernahme ersucht. Das Gesuch wurde von den polnischen Behörden am 2. Juni 2016 gutgeheissen.</w:t>
      </w:r>
    </w:p>
    <w:p>
      <w:r>
        <w:rPr>
          <w:b/>
        </w:rPr>
        <w:t>E. 4.2</w:t>
      </w:r>
    </w:p>
    <w:p>
      <w:r>
        <w:t>Die Beschwerdeführerin bestreitet die grundsätzliche Zuständigkeit dieses Mitgliedstaates denn auch nicht.</w:t>
      </w:r>
    </w:p>
    <w:p>
      <w:r>
        <w:rPr>
          <w:b/>
        </w:rPr>
        <w:t>E. 4.3</w:t>
      </w:r>
    </w:p>
    <w:p>
      <w:r>
        <w:t>Die Beschwerdeführerin hat Verwandte - Tanten, Cousin und Cousine - in der Schweiz. Das SEM hat dazu in der angefochtenen Verfügung (S. 3 und in der Vernehmlassung vom 22. Juni 2016 (S. 2 f.) zutreffend darauf hingewiesen, dass diese Familienangehörigen nicht zu den in Art. 2 Bst. g Dublin-III-VO genannten Familienkreis zu subsumieren sind. In der Beschwerdeschrift und in der Replik vom 12. Juli 2016 wird diesbezüglich denn auch nichts Gegenteiliges behauptet. Die grundsätzliche Zuständigkeit Polens ist somit gegeben.</w:t>
      </w:r>
    </w:p>
    <w:p>
      <w:r>
        <w:rPr>
          <w:b/>
        </w:rPr>
        <w:t>E. 4.4</w:t>
      </w:r>
    </w:p>
    <w:p>
      <w:r>
        <w:t>Im Licht von Art. 3 Abs. 2 Dublin-III-VO ist zu prüfen, ob es wesentliche Gründe für die Annahme gibt, das Asylverfahren und die Aufnahmebedingungen für Asylsuchende in Polen würden systemische Schwachstellen aufweisen, die eine Gefahr einer unmenschlichen oder entwürdigenden Behandlung im Sinne des Artikels 4 der EU-Grundrechtecharta mit sich bringen würden.</w:t>
      </w:r>
    </w:p>
    <w:p>
      <w:r>
        <w:rPr>
          <w:b/>
        </w:rPr>
        <w:t>E. 4.4.1</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4.4.2</w:t>
      </w:r>
    </w:p>
    <w:p>
      <w:r>
        <w:t>Unter diesen Umständen ist die Anwendung von Art. 3 Abs. 2 Dublin-III-VO nicht gerechtfertigt.</w:t>
      </w:r>
    </w:p>
    <w:p>
      <w:r>
        <w:rPr>
          <w:b/>
        </w:rPr>
        <w:t>E. 4.5</w:t>
      </w:r>
    </w:p>
    <w:p>
      <w:r>
        <w:t>Die Beschwerdeführerin macht in ihrem Rechtsmittel (S. 4 f.) geltend, sie habe sich Anfang April notfallmässig ins Universitätsspital C._______ begeben müssen. Dort habe sie mit Zeichen einer akuten Herzinsuffizienz und beginnendem kardiogenen Schock auf die Intensivstation verlegt werden müssen. Es sei eine akute, virale Herzmuskelentzündung festgestellt worden. Am 27. April 2016 habe sie auf die Normalstation verlegt werden können. Dem aktenkundigen kardiologischen Bericht vom 2. Mai 2016 sei zu entnehmen, dass "in vier Wochen" eine kardiologische Verlaufskontrolle mittels Magnetresonanztomographie (MRT) durchzuführen und die begonnene Herzinsuffizienztherapie fortzuführen sei. Sie dürfe sich zudem während mindestens dreier Monate nicht sportlich betätigen. Damit fordert sie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4.5.1</w:t>
      </w:r>
    </w:p>
    <w:p>
      <w:r>
        <w:t>Unter dem Aspekt der Frage der Zulässigkeit einer Rückführung nach Polen ist festzuhalten, dass die Beschwerdeführerin kein konkretes und ernsthaftes Risiko dargetan hat, die polnischen Behörden würden sich weigern, sie [wieder] aufzunehmen und ihren Antrag auf internationalen Schutz unter Einhaltung der Regeln der Verfahrensrichtlinie zu prüfen. Den Akten sind denn auch keine Gründe für die Annahme zu entnehmen, Polen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Polen seien derart schlecht, dass sie zu einer Verletzung von Art. 4 der EU-Grundrechtecharta oder Art. 3 FoK führen könnten. Die Beschwerdeführerin hat auch keine konkreten Hinweise für die Annahme dargetan, Polen würde ihr dauerhaft die ihr gemäss Aufnahmerichtlinie zustehenden minimalen Lebensbedingungen vorenthalten. Bei einer allfälligen vorübergehenden Einschränkung könnte sie sich im Übrigen nötigenfalls an die polnischen Behörden wenden und die ihr zustehenden Aufnahmebedingungen auf dem Rechtsweg einfordern (vgl. Art. 26 Aufnahmerichtlinie).</w:t>
      </w:r>
    </w:p>
    <w:p>
      <w:r>
        <w:rPr>
          <w:b/>
        </w:rPr>
        <w:t>E. 4.5.2</w:t>
      </w:r>
    </w:p>
    <w:p>
      <w:r>
        <w:t>Mit der Berufung auf ihren gesundheitlichen Zustand macht die Beschwerdeführerin auch geltend, die Überstellung nach Polen setze sie einer Gefahr für ihre Gesundheit aus und verletze damit Art. 3 EMRK.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Die Beschwer­de­führerin konnte nicht nachweisen, dass sie längerfristig nicht reisefähig sei oder eine Überstellung ihre Gesundheit ernsthaft gefährden würde. Ihr Gesundheitszustand vermag eine Unzulässigkeit im Sinne dieser restriktiven Rechtsprechung nicht zu rechtfertigen. Die gesundheitlichen Probleme sind gemäss Akten auch nicht von einer derartigen Schwere, dass aus humanitären Gründen zwingend von einer Überstellung abgesehen werden müsste. Vielmehr dürften die im Bericht vom 2. Mai 2106 angeordneten Nachfolgeuntersuchungen (MRT nach vier Wochen) nunmehr durchgeführt respektive eine allfällige weiterhin andauernde medikamentöse Therapie nunmehr etabliert sein. Allfällige weiterhin notwendige Medikamente sind auch in Polen erhältlich respektive können solche der Beschwerdeführerin bei Bedarf für die Übergangszeit nach Rücküberstellung nach Polen mitgegeben werden. Die Anordnung im Bericht vom 2. Mai 2016, während dreier Monate den Körper nicht übermässig (durch sportliche Betätigung) zu belasten, ist in zeitlicher Hinsicht aktuell als abgeschlossen zu betrachten; dass diese ärztliche Einschränkung weiter andauern würde, hat die Beschwerdeführerin nicht geltend gemacht. Im Übrigen ist allgemein bekannt, dass Polen grundsätzlich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Es liegen keine Hinweise vor, wonach Polen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 Rechnung tragen und - wie in der angefochtenen Verfügung angekündigt - die polnischen Behörden bei Bedarf vorgängig in geeigneter Weise über die spezifischen medizinischen Umstände informieren (vgl. Art. 31 f. Dublin-III-VO).</w:t>
      </w:r>
    </w:p>
    <w:p>
      <w:r>
        <w:rPr>
          <w:b/>
        </w:rPr>
        <w:t>E. 4.5.3</w:t>
      </w:r>
    </w:p>
    <w:p>
      <w:r>
        <w:t>Gemäss Praxis des Bundesverwaltungsgerichts verfügt das SEM bei der Anwendung der Kann-Bestimmung von Art. 29a Abs. 3 AsylV 1 im Übrigen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4.5.4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4.6</w:t>
      </w:r>
    </w:p>
    <w:p>
      <w:r>
        <w:t>Somit bleibt Polen der für die Behandlung des Asylgesuchs der Beschwerdeführerin zuständige Mitgliedstaat gemäss Dublin-III-VO. Polen ist verpflichtet, das Asylverfahren gemäss Art. 21, 22 und 29 aufzunehmen.</w:t>
      </w:r>
    </w:p>
    <w:p>
      <w:r>
        <w:rPr>
          <w:b/>
        </w:rPr>
        <w:t>E. 5</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Polen in Anwendung von Art. 44 AsylG ebenfalls zu Recht angeordnet (Art. 32 Bst. a AsylV 1).</w:t>
      </w:r>
    </w:p>
    <w:p>
      <w:r>
        <w:rPr>
          <w:b/>
        </w:rPr>
        <w:t>E. 6</w:t>
      </w:r>
    </w:p>
    <w:p>
      <w:r>
        <w:t>Nach dem Gesagten ist die Beschwerde abzuweisen und die Verfügung des SEM zu bestätigen.</w:t>
      </w:r>
    </w:p>
    <w:p>
      <w:r>
        <w:rPr>
          <w:b/>
        </w:rPr>
        <w:t>E. 7</w:t>
      </w:r>
    </w:p>
    <w:p>
      <w:r>
        <w:t>Bei diesem Ausgang des Verfahrens wären die Kosten grundsätzlich der Beschwerdeführerin aufzuerlegen (Art. 63 Abs. 1 VwVG). Nachdem aber mit Zwischenverfügung vom 17. Juni 2016 die unentgeltliche Prozessführung gemäss Art. 65 Abs. 1 VwVG gewährt wurde (die zugleich eingeforderte Bestätigung der Fürsorgeabhängigkeit wurde am 28. Juni 2016 eingereicht),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