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E-3720/2016 vom 18. August 2016</w:t>
      </w:r>
    </w:p>
    <w:p>
      <w:r>
        <w:t>Bundesverwaltungsgericht, 2016-08-18, DE</w:t>
      </w:r>
    </w:p>
    <w:p>
      <w:r>
        <w:rPr>
          <w:b/>
        </w:rPr>
        <w:t xml:space="preserve">Quelle: </w:t>
      </w:r>
      <w:r>
        <w:t>https://mcp.opencaselaw.ch/entscheid/bvger_E-3720_2016</w:t>
      </w:r>
    </w:p>
    <w:p>
      <w:r>
        <w:t>FR: TAF E-3720/2016 du 18 août 2016</w:t>
      </w:r>
    </w:p>
    <w:p>
      <w:r>
        <w:t>IT: TAF E-3720/2016 del 18 agosto 2016</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VwVG) ist grundsätzlich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Begründet wird die Beschwerde unter anderem damit, die Vorinstanz habe das Akteneinsichtsrecht des Beschwerdeführers verletzt, indem sie der Rechtsvertreterin zu Unrecht keine Einsicht in die Akten A22/4 und A23/6 gewährt habe.</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Gemäss der diesbezüglich nach wie vor anwendbaren Praxis der Asylrekurskommission (vgl. EMARK 2006/24) sind die Asylbehörden im Hinblick auf die Prüfung der Zumutbarkeit des Wegweisungsvollzugs (Art. 83 Abs. 4 AuG [SR 142.20]) bei Minderjährigen verpflichtet, von Amtes wegen abzuklären, welche Situation sich für die im Falle einer Heimkehr unbegleitete minderjährige Person im Heimatland realistischerweise ergeben könnte (a. a. O., E. 6.2.4). Es ist konkret abzuklären, ob das betreffende Kind in sein familiäres Umfeld zurückgeführt werden kann beziehungsweise ob es - wo das nicht möglich ist oder nicht dem Wohle des Kindes entspricht - anderweitig untergebracht werden kann. Aus dem Gehörsanspruch (Art. 29 VwVG) fliesst auch das Recht der betroffenen minderjährigen Person, die diesbezüglichen Akten einzusehen (Art. 26 Abs. 1 VwVG), sofern die Einsichtnahme nicht aufgrund überwiegender öffentlicher Interessen (Art. 27 Abs. 1 Bst. a VwVG) beziehungsweise aufgrund einer noch nicht abgeschlossenen amtlichen Untersuchung (Art. 27 Abs. 1 Bst. c VwVG) verweigert werden darf.</w:t>
      </w:r>
    </w:p>
    <w:p>
      <w:r>
        <w:rPr>
          <w:b/>
        </w:rPr>
        <w:t>E. 3.4</w:t>
      </w:r>
    </w:p>
    <w:p>
      <w:r>
        <w:t>Im vorliegenden Fall hat die Vorinstanz die Einsicht in die Aktenstücke A22/4 und A23/6 gemäss dem Aktenverzeichnis aufgrund überwiegender öffentlicher Interessen verweigert. Solche überwiegenden öffentlichen Interesse sind bei Durchsicht der Dokumente jedoch nicht ersichtlich. In der Botschaftsanfrage vom 9. März 2016 (A22/4), welche die Abklärung der Aufnahmekapazitäten der Hilfsorganisation Sabou Guinée zum Gegenstand hat, wird explizit ausgeführt, die Ergebnisse der Abklärungen der Botschaft würden den Betroffenen grundsätzlich zur Kenntnis gebracht. Nach dem Gesagten hat die Vorinstanz das Akteneinsichtsrecht des Beschwerdeführers verletzt, indem sie ihm die Aktenstücke A22/4 und A23/6 nicht ausgehändigt hat.</w:t>
      </w:r>
    </w:p>
    <w:p>
      <w:r>
        <w:rPr>
          <w:b/>
        </w:rPr>
        <w:t>E. 4.1</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Nach ständiger Rechtsprechung hat eine Rückweisung daneben auch bei schweren Verletzungen von Verfahrensrechten - namentlich des rechtlichen Gehörs - zu erfolgen (vgl. Urteile des BVGer E-2378/2013 vom 5. März 2015, E. 6.1 und 6.3 f. sowie D-5878/2014 vom 7. Januar 2015, E. 5.4).</w:t>
      </w:r>
    </w:p>
    <w:p>
      <w:r>
        <w:rPr>
          <w:b/>
        </w:rPr>
        <w:t>E. 4.2</w:t>
      </w:r>
    </w:p>
    <w:p>
      <w:r>
        <w:t>Im vorliegenden Verfahren ist dem Beschwerdeführer die Akteneinsicht in die Aktenstücke A22/4 und A23/6 zu gewähren. Daraufhin ist ihm vor dem Erlass einer neuen Verfügung das Recht einzuräumen, sich zu der mit der Aufnahme in Guinea befassten Organisation (Sabou Guinée) und zu den von ihr gestellten Bedingungen zu äussern. Beides hat durch die Vor-instanz zu geschehen, weil ein Entscheid in der Sache durch das Bundesverwaltungsgericht nicht mehr weitergezogen werden könnte, der Beschwerdeführer mithin keine Möglichkeit zur Ergreifung eines Rechtsmittels mehr hätte.</w:t>
      </w:r>
    </w:p>
    <w:p>
      <w:r>
        <w:rPr>
          <w:b/>
        </w:rPr>
        <w:t>E. 4.3</w:t>
      </w:r>
    </w:p>
    <w:p>
      <w:r>
        <w:t>Soweit im Aktenstück A23/6 Ausführungen zu bisherigen Erfahrungen und Abwicklungsmodalitäten gemacht werden, die als behördeninterner Informationsaustausch zu qualifizieren sind (vgl. BGE 115 V 303), steht es der Vorinstanz frei, im Rahmen der Akteneinsicht die entsprechenden Stellen zu schwärzen.</w:t>
      </w:r>
    </w:p>
    <w:p>
      <w:r>
        <w:rPr>
          <w:b/>
        </w:rPr>
        <w:t>E. 5</w:t>
      </w:r>
    </w:p>
    <w:p>
      <w:r>
        <w:t>Aus den vorstehenden Gründen ist die Beschwerde gutzuheissen. Die Verfügung vom 10. Juni 2016 ist aufzuheben und die Sache im Sinne der Erwägungen an das SEM zurückzuweisen. Auf das Beschwerdebegehren, es sei festzustellen, dass der angefochtene Entscheid mit einem formellen Fehler behaftet sei, ist bei dieser Sachlage mangels Rechtsschutzinteresse nicht einzutreten.</w:t>
      </w:r>
    </w:p>
    <w:p>
      <w:r>
        <w:rPr>
          <w:b/>
        </w:rPr>
        <w:t>E. 6.1</w:t>
      </w:r>
    </w:p>
    <w:p>
      <w:r>
        <w:t>Bei diesem Ausgang des Verfahrens sind keine Kosten zu erheben (Art. 63 Abs. 1 und 2 VwVG).</w:t>
      </w:r>
    </w:p>
    <w:p>
      <w:r>
        <w:rPr>
          <w:b/>
        </w:rPr>
        <w:t>E. 6.2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Allerdings übt die Rechtsvertreterin des Beschwerdeführers ihr Mandat im Rahmen ihrer Tätigkeit im Gesundheits- und Sozialdepartement des Kantons Luzern ausschliesslich aufgrund staatlicher Beauftragung aus. Die Rechtsvertretung ist für den Beschwerdeführer unentgeltlich. Demzufolge sind ihm keine notwendigen Kosten erwachsen und es ist keine Parteientschädigung zu entrichten.</w:t>
      </w:r>
    </w:p>
    <w:p>
      <w:r>
        <w:rPr>
          <w:b/>
        </w:rPr>
        <w:t>E. 6.3</w:t>
      </w:r>
    </w:p>
    <w:p>
      <w:r>
        <w:t>Mit dem vorliegenden Entscheid sind die Begehren um unentgeltliche Rechtspflege und um Einsetzung eines unentgeltlichen Rechtsbeistands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