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E-3714/2016 vom 5. August 2016</w:t>
      </w:r>
    </w:p>
    <w:p>
      <w:r>
        <w:t>Bundesverwaltungsgericht, 2016-08-05, DE</w:t>
      </w:r>
    </w:p>
    <w:p>
      <w:r>
        <w:rPr>
          <w:b/>
        </w:rPr>
        <w:t xml:space="preserve">Quelle: </w:t>
      </w:r>
      <w:r>
        <w:t>https://mcp.opencaselaw.ch/entscheid/bvger_E-3714_2016</w:t>
      </w:r>
    </w:p>
    <w:p>
      <w:r>
        <w:t>FR: TAF E-3714/2016 du 5 août 2016</w:t>
      </w:r>
    </w:p>
    <w:p>
      <w:r>
        <w:t>IT: TAF E-3714/2016 del 5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In der Beschwerde wird - wie nachfolgend aufgezeigt - zu Recht eine Verletzung des rechtlichen Gehörs gerügt:</w:t>
      </w:r>
    </w:p>
    <w:p>
      <w:r>
        <w:rPr>
          <w:b/>
        </w:rPr>
        <w:t>E. 4.1</w:t>
      </w:r>
    </w:p>
    <w:p>
      <w:r>
        <w:t>Der Anspruch auf rechtliches Gehör richtet sich nach Art. 29 VwVG und Art. 29 Abs. 2 BV. Der Gehörsanspruch dient einerseits der Sachaufklärung, andererseits stellt er ein persönlichkeitsbezogenes Mitwirkungsrecht beim Erlass eines Entscheides dar, welcher in die Rechtsstellung des Einzelnen eingreift. Als Mitwirkungsrecht umfasst er alle Befugnisse, die einer Partei einzuräumen sind, damit sie in einem Verfahren ihren Standpunkt wirksam zur Geltung bringen und auf den Prozess der Entscheidfindung Einfluss nehmen kann. Dazu gehört das Recht,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135 II 286 E. 5.1 S. 293; BVGE 2009/35 E. 6.4.1 m.w.H.).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4.2</w:t>
      </w:r>
    </w:p>
    <w:p>
      <w:r>
        <w:t>Mit Schreiben vom 26. April 2016 verlängerte das SEM die Frist bis zum 6. Mai 2016 zur Einreichung einer Stellungnahme der Beschwerdeführerin zum beabsichtigten Nichteintretensentscheid, zur Zuständigkeit Kroatiens für die Durchführung ihres Asyl- und Wegweisungsverfahrens sowie zur Wegweisung nach Kroatien (vgl. Bst. C.c). Indes datiert die angefochtene Verfügung des Staatssekretariats bereits vom 30. April 2016 (versandt am 2. Juni 2016, eröffnet am 7. Juni 2016) und wurde demnach erlassen, als die Frist zur Stellungnahme noch lief. Aufgrund der Ausführungen in der Verfügung ist anzunehmen, dass diese zwar im Nachhinein ergänzt worden ist. Ein solches Vorgehen legt jedoch den Schluss nahe, dass die Beschwerdeführerin gar keine Möglichkeit hatte, mit einer (nachträglichen) Stellungnahme wirklich auf den Prozess der Entscheidfindung beziehungsweise auf den Ausgang des vorinstanzlichen Verfahrens Einfluss zu nehmen. Da das SEM die angefochtene Verfügung noch in der (erstreckten) Frist zur Einreichung der Stellungnahme und Ausübung des rechtlichen Gehörs verfasst hat, ist zu bezweifeln, dass es seiner Pflicht, die Vorbringen der Beschwerdeführerin tatsächlich zu hören beziehungsweise ernsthaft im Prozess der Entscheidfindung einzubeziehen, nachgekommen ist. Sodann gewährte das SEM der Beschwerdeführerin während des laufenden vorinstanzlichen Verfahrens zwar Einsicht in die BzP, jedoch nicht in die übrigen Akten. Vorliegend wäre es allerdings ausschlaggebend gewesen, dass sie Kenntnis vom Umstand erlangt hätte, dass die Zuständigkeit Kroatiens zur Durchführung ihres Asyl- und Wegweisungsverfahrens infolge Verfristung bereits im Zeitpunkt der Gewährung des rechtlichen Gehörs feststand. Zwar hielt das SEM mit Schreiben vom 17. Mai 2016 (vgl. Bst. D.d) fest, dass die Einsicht in die Akten betreffend Zuständigkeitserklärung zwischen den Dublin-Staaten in denjenigen Fällen, in denen das rechtliche Gehör zur Rückkehr in den vermutlich zuständigen Dublin-Staat bereits anlässlich der BzP eingeräumt worden sei, auch mit der Entscheid-eröffnung gewährt werden könne. Eine Gewährung des rechtlichen Gehörs betreffend die Zuständigkeit gemäss der Dublin-III-VO und eine allfällige Überstellung in den zuständigen Dublin-Mitgliedstaat fand aber im vorliegenden Fall im Rahmen der BzP gerade nicht statt. Insbesondere handelt es sich bei der durchgeführten BzP um keine Information der Beschwerdeführerin im Sinne von Art. 4 Dublin-III-VO (vgl. A14/13 S. 9 f.; das in der BzP gewährte rechtliche Gehör bezieht sich ausschliesslich auf die Kantonszuteilung der Beschwerdeführerin und auf allfällige gesundheitliche Beeinträchtigungen). Vielmehr stand im Zeitpunkt des mit Schreiben des SEM vom 13. April 2016 gewährten rechtlichen Gehörs die Zuständigkeit Kroatiens infolge Verfristung bereits fest. Demnach ist auch auf diese Weise der Beschwerdeführerin im vorinstanzlichen Verfahren eine Einflussmöglichkeit verwehrt geblieben. Das (nachträgliche) Bestätigungsschreiben des SEM vom 2. Juni 2016 an die kroatischen Behörden (vgl. Bst. F) hat im Übrigen rein deklaratorische Wirkung, zumal die Zuständigkeit Kroatiens bereits zwei Monate nach dem gestellten Übernahmeersuchen des SEM vom 12. Februar 2016 - und somit am 13. April 2016 - feststand (vgl. Art. 22 Abs. 7 Dublin-III-VO).</w:t>
      </w:r>
    </w:p>
    <w:p>
      <w:r>
        <w:rPr>
          <w:b/>
        </w:rPr>
        <w:t>E. 4.3</w:t>
      </w:r>
    </w:p>
    <w:p>
      <w:r>
        <w:t>Zusammenfassend ist festzustellen, dass die Vorinstanz durch das nicht korrekte Gewähren des rechtlichen Gehörs Bundesrecht verletzt hat. Da die Verletzung des rechtlichen Gehörs formeller Natur ist, erübrigt es sich, in der Sache Stellung zu nehmen. Bei diesem Verfahrensausgang kann zudem darauf verzichtet werden, auf die weiteren in der Beschwerde erhobenen Rügen (insbesondere Gewährung des Akteneinsichtsrechts) im Einzelnen einzugehen.</w:t>
      </w:r>
    </w:p>
    <w:p>
      <w:r>
        <w:rPr>
          <w:b/>
        </w:rPr>
        <w:t>E. 5</w:t>
      </w:r>
    </w:p>
    <w:p>
      <w:r>
        <w:t>Die Beschwerde ist somit gutzuheissen. Die angefochtene Verfügung vom 30. April 2016 ist aufzuheben und die Sache ist zur korrekten Durchführung des Verfahrens unter Wahrung des Gehörsanspruchs der Beschwerdeführerin und zur neuen Beurteilung an die Vorinstanz zurückzuweisen.</w:t>
      </w:r>
    </w:p>
    <w:p>
      <w:r>
        <w:rPr>
          <w:b/>
        </w:rPr>
        <w:t>E. 6.1</w:t>
      </w:r>
    </w:p>
    <w:p>
      <w:r>
        <w:t>Bei diesem Ausgang des Beschwerdeverfahrens sind keine Verfahrenskosten aufzuerlegen (vgl. Art. 63 Abs. 1 VwVG).</w:t>
      </w:r>
    </w:p>
    <w:p>
      <w:r>
        <w:rPr>
          <w:b/>
        </w:rPr>
        <w:t>E. 6.2</w:t>
      </w:r>
    </w:p>
    <w:p>
      <w:r>
        <w:t>Im vorliegenden Fall ist von einem Obsiegen der Beschwerdeführerin auszugehen. Es ist ihr in Anwendung von Art. 64 Abs. 1 VwVG eine Parteientschädigung für die ihr erwachsenen notwendigen Vertretungskosten zuzusprechen. Der Rechtsvertreter hat keine Kostennote zu den Akten gereicht. Gestützt auf die in Betracht zu ziehenden Bemessungsfaktoren (Art. 7-13 des Reglements vom 21. Februar 2008 über die Kosten und Entschädigungen vor dem Bundesverwaltungsgericht [VGKE, SR 173.320.2]) lässt sich der Vertretungsaufwand aber aufgrund der Akten hinreichend zuverlässig ab-schätzen (vgl. Art. 14 VGKE), und ist auf insgesamt Fr. 2'500.- (inkl. allfällige Auslagen und Mehrwertsteuer) festzusetzen. Das SEM ist anzuweisen, der Beschwerdeführerin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