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E-3711/2022 vom 30. August 2022</w:t>
      </w:r>
    </w:p>
    <w:p>
      <w:r>
        <w:t>Bundesverwaltungsgericht, 2022-08-30, DE</w:t>
      </w:r>
    </w:p>
    <w:p>
      <w:r>
        <w:rPr>
          <w:b/>
        </w:rPr>
        <w:t xml:space="preserve">Quelle: </w:t>
      </w:r>
      <w:r>
        <w:t>https://mcp.opencaselaw.ch/entscheid/bvger_E-3711_2022</w:t>
      </w:r>
    </w:p>
    <w:p>
      <w:r>
        <w:t>FR: TAF E-3711/2022 du 30 août 2022</w:t>
      </w:r>
    </w:p>
    <w:p>
      <w:r>
        <w:t>IT: TAF E-3711/2022 del 30 agosto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 Auf die Beschwerde ist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w:t>
      </w:r>
    </w:p>
    <w:p>
      <w:r>
        <w:t>Der Beschwerdeführer ersucht um Einräumung einer Nachfrist zur Ergänzung der Beschwerdeschrift gemäss Art. 53 VwVG - insbesondere hinsichtlich des medizinischen Sachverhalts, da es ihm infolge der kurzen Rechtsmittelfrist und der Niederlegung des Mandats durch die vorherige Rechtsvertretung nicht möglich gewesen sei, ein ausführliches Gespräch mit seiner Rechtsvertreterin zu organisieren. Die Beschwerdesache weist jedoch weder einen aussergewöhnlichen Umfang noch eine besondere Schwierigkeit auf, weshalb die Voraussetzungen zur Gewährung einer Nachfrist zur Beschwerdeergänzung nach Art. 53 VwVG nicht erfüllt sind. Dem Beschwerdeführer respektive seiner Rechtsvertreterin war es im Übrigen trotz der geschilderten Zeitknappheit offensichtlich möglich, eine einlässliche Beschwerdeschrift einzureichen und sich darin zu den wesentlichen Punkten - so auch zur geltend gemachten Beeinträchtigung des psychischen Gesundheitszustands - zu äussern. Das Gesuch um Ansetzen einer Nachfrist zur Beschwerdeergänzung wird demnach abgewiesen.</w:t>
      </w:r>
    </w:p>
    <w:p>
      <w:r>
        <w:rPr>
          <w:b/>
        </w:rPr>
        <w:t>E. 4.1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5.1</w:t>
      </w:r>
    </w:p>
    <w:p>
      <w:r>
        <w:t>Der Beschwerdeführer rügt eine unvollständige Abklärung des rechtserheblichen Sachverhaltes sowie sinngemäss eine Verletzung der Begründungspflicht, indem die Vorinstanz es unterlassen habe, den Gesundheitszustand des Beschwerdeführers in ihrer Entscheidung hinreichend «einzubauen» sowie eine detailliertere Konsultation anzuordnen. Diese formellen Rügen sind vorab zu beurteilen.</w:t>
      </w:r>
    </w:p>
    <w:p>
      <w:r>
        <w:rPr>
          <w:b/>
        </w:rPr>
        <w:t>E. 5.2</w:t>
      </w:r>
    </w:p>
    <w:p>
      <w:r>
        <w:t>Gemäss Art. 12 VwVG stellt die Behörde den Sachverhalt von Amtes wegen fest und bedient sich nötigenfalls der gesetzlichen Beweismittel (Bstn. a-e). Unvollständig ist die Sachverhaltsfeststellung, wenn nicht alle für den Entscheid rechtswesentlichen Sachumstände berücksichtigt werden (vgl. Kölz/Häner/Bertschi, Verwaltungsverfahren und Verwaltungsrechtspflege des Bundes, 3. Aufl. 2013, Rz. 1043). Der Untersuchungsgrundsatz findet seine Grenze an der Mitwirkungspflicht der Asylsuchenden (Art. 8 AsylG; Art. 13 VwVG). Eng mit dem Untersuchungsgrundsatz zusammen hängt die Pflicht der Behörde, ihren Entscheid zu begründen (Art. 35 Abs. 1 VwVG).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w:t>
      </w:r>
    </w:p>
    <w:p>
      <w:r>
        <w:rPr>
          <w:b/>
        </w:rPr>
        <w:t>E. 5.3</w:t>
      </w:r>
    </w:p>
    <w:p>
      <w:r>
        <w:t>Aufgrund der im Entscheidzeitpunkt bestehenden Aktenlage war der medizinische Sachverhalt ausreichend erstellt und die Vorinstanz konnte sich ein hinreichendes Bild vom Gesundheitszustand des Beschwerdeführers machen, um die Zulässigkeit der Wegweisung nach Italien zu beurteilen sowie über die Anwendung der Souveränitätsklausel zu befinden. So hat sich die Vorinstanz in der angefochtenen Verfügung mit den ihr zum Entscheidzeitpunkt zur Verfügung stehenden medizinischen Akten (namentlich mit dem Arztbericht der B._______ vom 8. Juli 2022 und demjenigen anlässlich der B._______ vom 16. August 2022) auseinandergesetzt und unter anderem begründet, weshalb sie den medizinischen Sachverhalt als erstellt erachte (vgl. E 9.3.3). Von zusätzlichen medizinischen Abklärungen wären, wie die Vorinstanz in der angefochtenen Verfügung zutreffend festhält, keine rechtserheblichen neuen Erkenntnisse zu erwarten gewesen. Unter diesen Umständen bestand auch keine Veranlassung, weitere diesbezügliche Abklärungen vorzunehmen (zur antizipierten Beweiswürdigung vgl. BGE 141 I 60 E. 3.3; 136 I 229 E. 5.3). Ebenso wenig ist eine Verletzung der Begründungspflicht zu erblicken. Hierfür wird auf die angefochtene Verfügung verwiesen, in welcher unter Ziffer II auf Seite 5 f. über mehr als einer Seite Ausführungen betreffend die ärztlichen Befunde und die medizinische Versorgung in Italien gemacht werden. Eine Begründungspflichtverletzung liegt daher offensichtlich nicht vor. Die formellen Rügen erweisen sich als unbegründet, weshalb keine Veranlassung besteht, die Sache aufzuheben und an die Vorinstanz zurückzuweisen. Das entsprechende Eventualbegehren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Überstellung aus der Schweiz in den zuständigen Staat und ordnet den Vollzug an (Art. 44 AsylG).</w:t>
      </w:r>
    </w:p>
    <w:p>
      <w:r>
        <w:rPr>
          <w:b/>
        </w:rPr>
        <w:t>E. 6.2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6.3</w:t>
      </w:r>
    </w:p>
    <w:p>
      <w:r>
        <w:t>Im Fall eines - wie vorliegend - sogenannten Aufnahmeverfahrens (engl.: take charge) sind die in Kapitel III (Art. 8-15 Dublin-III-VO) genannten Kriterien in der dort aufgeführten Rangfolge (Prinzip der Hierarchie der Zuständigkeitskriterien; vgl. Art. 7 Abs. 1 Dublin-III-VO) anzuwenden.</w:t>
      </w:r>
    </w:p>
    <w:p>
      <w:r>
        <w:rPr>
          <w:b/>
        </w:rPr>
        <w:t>E. 6.4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das SEM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7</w:t>
      </w:r>
    </w:p>
    <w:p>
      <w:r>
        <w:t>Der Beschwerdeführer bestreitet nicht, sich vor der Einreise in die Schweiz in Italien aufgehalten zu haben. Nachdem die italienischen Behörden sich innert der in Art. 22 Abs. 1 Dublin-III-VO vorgesehenen Frist nicht zum Aufnahmegesuch des SEM geäussert haben, steht die Zuständigkeit Italiens gemäss Art. Art. 22 Abs. 7 Dublin-III-VO grundsätzlich fest.</w:t>
      </w:r>
    </w:p>
    <w:p>
      <w:r>
        <w:rPr>
          <w:b/>
        </w:rPr>
        <w:t>E. 8</w:t>
      </w:r>
    </w:p>
    <w:p>
      <w:r>
        <w:t>Der Beschwerdeführer macht in seiner Rechtsmitteleingabe unter Hinweis auf einen Bericht der Schweizerischen Flüchtlingshilfe (SFH) vom 10. Juni 2021 und eines Weiteren vom Februar 2022 geltend, die Aufnahmebedingungen in Italien seien selbst für Schutzberechtigte unzureichend. Dies habe sich trotz der neuen Gesetze (insbesondere Lamorgese-Dekret und Gesetz 173/2020) de facto nicht geändert. Die Reform respektive das neue Dekret habe bis anhin keine tatsächliche Wirkung entfaltet. Das SEM habe den Umständen, die er bei einer Rückkehr nach Italien antreffen würde, und damit dem Verhältnismässigkeitsprinzip im Sinne von Art. 5 Abs. 2 BV nicht hinreichend Rechnung getragen. Es mangle am Zugang zu verschiedenen unentbehrlichen staatlichen Leistungen, so im Bereich der Gesundheitsversorgung und insbesondere auch in Bezug auf die Wohnsituation. Zudem müsse beachtet werden, dass sich die Unterkunftssituation im Zuge des Kriegs in der Ukraine zusätzlich verschlechtert haben dürfte. Da eine adäquate medizinische und psychologische Versorgung in Italien - auch angesichts der Corona-Pandemie - nicht sichergestellt sei, liege eine tatsächliche Gefahr einer schwerwiegenden raschen und unumkehrbaren Verschlechterung seines Gesundheitszustandes nach einer Rückkehr nach Italien vor.</w:t>
      </w:r>
    </w:p>
    <w:p>
      <w:r>
        <w:rPr>
          <w:b/>
        </w:rPr>
        <w:t>E. 9.1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9.2</w:t>
      </w:r>
    </w:p>
    <w:p>
      <w:r>
        <w:t>Das Bundesverwaltungsgericht geht in ständiger Rechtsprechung davon aus, dass das italienische Asylsystem - trotz punktueller Schwachstellen - keine systemischen Mängel im Sinn von Art. 3 Abs. 2 Satz 2 Dublin-III-VO aufweist (vgl. Referenzurteil des Bundesverwaltungsgerichts D-4235/2021 vom 19. April 2022 E. 10.2, mit weiteren Hinweisen). Für eine Änderung dieser Rechtsprechung besteht - auch unter Berücksichtigung der Ausführungen in der Rechtsmittelschrift zur Lage der Asylsuchenden in Italien - keine Veranlassung.</w:t>
      </w:r>
    </w:p>
    <w:p>
      <w:r>
        <w:rPr>
          <w:b/>
        </w:rPr>
        <w:t>E. 9.3.1</w:t>
      </w:r>
    </w:p>
    <w:p>
      <w:r>
        <w:t>Nachfolgend ist zu prüfen, ob die Schweiz - wie vom Beschwerdeführer gefordert - das Selbsteintrittsrecht nach Art. 17 Abs. 1 Satz 1 Dublin-III-VO (konkretisiert in Art. 29a Abs. 3 AsylV 1) ausüben muss respektive soll.</w:t>
      </w:r>
    </w:p>
    <w:p>
      <w:r>
        <w:rPr>
          <w:b/>
        </w:rPr>
        <w:t>E. 9.3.2</w:t>
      </w:r>
    </w:p>
    <w:p>
      <w:r>
        <w:t>Soweit der Beschwerdeführer den Zugang zum Asylverfahren und zu einer adäquaten Unterbringung in Frage stellt, vermag er kein konkretes und ernsthaftes Risiko darzutun, die italienischen Behörden würden sich weigern, ihn aufzunehmen und einen Antrag auf internationalen Schutz unter Einhaltung der Regeln der Verfahrensrichtlinie zu prüfen. Den Akten sind denn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italienischen Behörden haben der Aufnahme des Beschwerdeführers implizit zugestimmt. Ausserdem hat der Beschwerdefüh-rer nicht dargetan, die ihn bei einer Rückführung erwartenden Bedingungen in Italien seien derart schlecht, dass sie zu einer Verletzung von Art. 4 der EU-Grundrechtecharta, Art. 3 EMRK oder Art. 3 FoK führen könnten.</w:t>
      </w:r>
    </w:p>
    <w:p>
      <w:r>
        <w:rPr>
          <w:b/>
        </w:rPr>
        <w:t>E. 9.3.3</w:t>
      </w:r>
    </w:p>
    <w:p>
      <w:r>
        <w:t>Soweit der Beschwerdeführer den Zugang zu medizinischer Gesundheitsversorgung thematisiert, ist Folgendes festzuhalten: Das Bundesverwaltungsgericht hatte das SEM vor einiger Zeit bei schwer erkrankten Asylsuchenden, die sofort nach der Ankunft in Italien auf lückenlose medizinische Versorgung angewiesen waren, verpflichtet, individuelle Zusicherungen betreffend die Gewährleistung der nötigen medizinischen Versorgung und Unterbringung bei den italienischen Behörden einzuholen (vgl. Referenzurteile des BVGer E-962/2019 vom 17. Dezember 20219 E. 7.4.3 sowie D-2846/2020 vom 16. Juli 2020 E. 6.2 und statt vieler die Urteile des BVGer F-3494/2021 vom 28. Oktober 2021,F-444/2021 vom 8. Februar 2021 E. 6.1, E-208/2021 vom 22. Januar 2021 S. 13 oder E-178/2021 vom 20. Januar 2021 E. 8.3). In einem kürzlich ergangenen Urteil (vergleiche das oben genannte Referenzurteil D-4235/2021) aktualisierte das Gericht jedoch seine Rechtsprechung dahingehen, dass solche Garantien in einem Fall wie dem vorliegenden nicht mehr erforderlich sind (vgl. insbesondere Urteil des BVGer F-3555/2022 vom 22. August 2022 S. 11). Die medizinischen Probleme des Beschwerdeführers sind in casu nicht von einer derartigen Schwere, dass eine Überstellung nach Italien einen Verstoss gegen internationale Verpflichtungen der Schweiz bedeuten würde. Namentlich ergibt sich aus den Akten kein Hinweis auf eine drohende Verletzung von Art. 3 EMRK (vgl. hierzu BVGE 2011/9 E. 7 m.H.a. die damalige Praxis des Europäischen Gerichtshofs für Menschenrechte [EGMR], Urteil des EGMR Paposhvili gegen Belgien 13. Dezember 2016, Grosse Kammer 41738/10, §§ 180-193 m.w.H.). Das Bundesverwaltungsgericht verkennt dabei nicht, dass eine psychologische Behandlung in casu sinnvoll sein könnte. Italien verfügt über eine ausreichende medizinische Infrastruktur (statt vieler: Urteile des BVGer E-1883/2022 vom 28. April 2022 E. 8.3.3; F-206/2022 vom 26. Januar 2022 E. 4.3). Der Zugang zum italienischen Gesundheitssystem über die Notversorgung hinaus ist grundsätzlich gewährleistet, wobei ein allfälliger Qualitätsverlust in der Therapie hinzunehmen ist. Die Dublin-III-VO oder andere völkerrechtliche Bestimmungen räumen kein Recht ein, den für eine medizinische Behandlung bestgeeignetsten Staat frei zu wählen oder eine dem Schweizer Standard äquivalente Therapie absolvieren zu können (vgl. BVGE 2017 VI/7 E. 6.2; Urteil des BVGer F-3604/2021 vom 1. September 2021 E. 4.1.2). Soweit der Beschwerdeführer eine Beeinträchtigung seines psychischen Gesundheitszustands geltend macht ist anzumerken, dass im aktuellen Arztbericht vom 16. August 2022, bei welcher eine (...) und (...) diagnostiziert worden sind, eine (...) empfohlen wurde und ausgeführt wurde, dass es ohne Behandlung zu einer Verschlimmerung der Symptomatik kommen könne, jedoch auch festgehalten wurde, dass eine Überweisung an einen Spezialisten nicht angezeigt sei (SEM-act. 20). Der Beschwerdeführer ist daher offensichtlich nicht auf eine spezielle und lückenlose medizinische Behandlung angewiesen. Es ist daher festzustellen, dass die vorliegenden Gesundheitsbeeinträchtigungen (i.c. [...]) nicht als derart gravierend einzustufen sind, dass von einer Überstellung nach Italien abgesehen werden müsste, zumal eine adäquate Behandlung psychischer Leiden in Italien ebenfalls möglich ist (vgl. Urteile des BVGer D-2846/2020 vom 16. Juli 2020 E. 6.2.1 (als Referenzurteil publiziert); F-2876/2022 vom 7. Juli 2022 E. 6.5, E-730/2022 vom 23. Februar 2022 E. 6.3.2, Urteil des EGMR 39350/13 A.S. gegen Schweiz vom 30. September 2015 Rz. 35 ff.). Daher wären von zusätzlichen medizinischen Abklärungen keine neuen relevanten Erkenntnisse zu erwarten gewesen (zur antizipierten Beweiswürdigung vgl. BGE 141 I 60 E. 3.3 oder BGE 136 1 229 E. 5.3). Sofern im Überstellungszeitpunkt erforderlich, werden die schweizerischen Behörden, die mit dem Vollzug der angefochtenen Verfügung beauftragt sind, die italienischen Behörden in geeigneter Weise über allfällige spezifische medizinische Bedürfnisse und Umstände des Beschwerdeführers informieren (Art. 31 f. Dublin-III-VO). Individueller Zusicherungen der italienischen Behörden betreffend Unterbringung und medizinischer Versorgung des Beschwerdeführers bedarf es nicht mehr, weshalb das Eventualbegehren um Einholung von entsprechenden Zusicherungen der italienischen Behörden abzuweisen ist.</w:t>
      </w:r>
    </w:p>
    <w:p>
      <w:r>
        <w:rPr>
          <w:b/>
        </w:rPr>
        <w:t>E. 9.3.4</w:t>
      </w:r>
    </w:p>
    <w:p>
      <w:r>
        <w:t>Die allgemeinen Aufnahmebedingungen für (gestützt auf die Dublin-III-VO zurückkehrende) Asylsuchende in Italien führen nach bisheriger Praxis des Bundesverwaltungsgerichts nicht zur Ausübung des Selbsteintrittsrechts in der Schweiz (vgl. etwa Urteil des BVGer F-1479/2021 vom 13. April 2021 2021 E. 7.2). Auf eine inhaltliche Auseinandersetzung mit den diesbezüglichen allgemeinen Ausführungen in in der Beschwerde zitierten Berichten der SFH vom 10. Juni 2021 und vom Februar 2022 betreffend die Aufnahmesituation in Italien kann an dieser Stelle verzichtet werden.</w:t>
      </w:r>
    </w:p>
    <w:p>
      <w:r>
        <w:rPr>
          <w:b/>
        </w:rPr>
        <w:t>E. 9.4</w:t>
      </w:r>
    </w:p>
    <w:p>
      <w:r>
        <w:t>Nach dem Gesagten lag für das SEM kein Grund für die zwingende Anwendung der Ermessensklausel von Art. 17 Dublin-III-VO oder von Art. 29a Abs. 3 AsylV 1 vor (vgl. auch E. 6.4 letzter Satz).</w:t>
      </w:r>
    </w:p>
    <w:p>
      <w:r>
        <w:rPr>
          <w:b/>
        </w:rPr>
        <w:t>E. 9.5.1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9.5.2</w:t>
      </w:r>
    </w:p>
    <w:p>
      <w:r>
        <w:t>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9.6</w:t>
      </w:r>
    </w:p>
    <w:p>
      <w:r>
        <w:t>Zusammenfassend ist festzuhalten, dass kein Grund für einen Selbsteintritt der Schweiz gemäss Art. 29a Abs. 3 AsylV 1 in Verbindung mit Art. 17 Dublin-III-VO vorliegt. Italien bleibt somit zuständiger Mitgliedstaat gemäss Dublin-III-VO und ist verpflichtet, den Beschwerdeführer 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 Unter diesen Umständen sind allfällige Vollzugshindernisse gemäss Art. 83 Abs. 3 und 4 AIG (SR 142.20) nicht mehr zu prüfen, da das Fehlen von Überstellungshindernissen bereits Voraussetzung des Nichteintretensentscheids gemäss Art. 31a Abs. 1 Bst. b AsylG ist (vgl. BVGE 2015/18 E. 5.2 m.w.H.).</w:t>
      </w:r>
    </w:p>
    <w:p>
      <w:r>
        <w:rPr>
          <w:b/>
        </w:rPr>
        <w:t>E. 11</w:t>
      </w:r>
    </w:p>
    <w:p>
      <w:r>
        <w:t>Aus diesen Erwägungen ergibt sich, dass die angefochtene Verfügung Bundesrecht nicht verletzt und den rechtserheblichen Sachverhalt richtig sowie vollständig feststellt (Art. 106 Abs. 1 AsylG). Die Beschwerde ist abzuweisen.</w:t>
      </w:r>
    </w:p>
    <w:p>
      <w:r>
        <w:rPr>
          <w:b/>
        </w:rPr>
        <w:t>E. 12</w:t>
      </w:r>
    </w:p>
    <w:p>
      <w:r>
        <w:t>Das Beschwerdeverfahren ist mit vorliegendem Urteil abgeschlossen, weshalb sich der Antrag auf Erlass vorsorglicher Massnahmen und auf Gewährung der aufschiebenden Wirkung als gegenstandslos erweist.</w:t>
      </w:r>
    </w:p>
    <w:p>
      <w:r>
        <w:rPr>
          <w:b/>
        </w:rPr>
        <w:t>E. 13</w:t>
      </w:r>
    </w:p>
    <w:p>
      <w:r>
        <w:t>Das Gesuch um Gewährung der unentgeltlichen Prozessführung ist abzuweisen, da die Begehren - wie sich aus den vorstehenden Erwägungen ergibt - als aussichtslos zu bezeichnen sind. Mit dem Entscheid in der Hauptsache ist das Begehren um Erlass des Kostenvorschusses gegenstandslos geworden. 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