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E-3711/2012 vom 27. Dezember 2013</w:t>
      </w:r>
    </w:p>
    <w:p>
      <w:r>
        <w:t>Bundesverwaltungsgericht, 2013-12-27, DE</w:t>
      </w:r>
    </w:p>
    <w:p>
      <w:r>
        <w:rPr>
          <w:b/>
        </w:rPr>
        <w:t xml:space="preserve">Quelle: </w:t>
      </w:r>
      <w:r>
        <w:t>https://mcp.opencaselaw.ch/entscheid/bvger_E-3711_2012</w:t>
      </w:r>
    </w:p>
    <w:p>
      <w:r>
        <w:t>FR: TAF E-3711/2012 du 27 décembre 2013</w:t>
      </w:r>
    </w:p>
    <w:p>
      <w:r>
        <w:t>IT: TAF E-3711/2012 del 27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Über offensichtlich begründete Beschwerden wird in einzelrichterlicher Zuständigkeit mit Zustimmung eines zweiten Richters oder einer zweiten Richterin entschieden (Art. 111 Bst. e AsylG). Vorliegend handelt es sich, wie im Folgenden aufgezeigt, um eine solche, weshalb der Beschwerdeentscheid nur summarisch zu begründen ist (Art. 111a Abs. 2 AsylG).</w:t>
      </w:r>
    </w:p>
    <w:p>
      <w:r>
        <w:rPr>
          <w:b/>
        </w:rPr>
        <w:t>E. 3.1</w:t>
      </w:r>
    </w:p>
    <w:p>
      <w:r>
        <w:t>Das BFM ist bei Asylverfahren, die Staatsangehörige Sri Lankas tamilischer Ethnie betreffen, systematisch dazu übergegangen, keine Ausreisefristen mehr zu verhängen und bereits angeordnete Ausreisefristen aufzuheben. Faktisch zieht es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sind. Das BFM stellte zudem in Aussicht, die beiden Vorfälle und die Frage einer allfälligen Veränderung der allgemeinen Situation und insbesondere die Lage der Rückkehrenden in Sri Lanka vertieft abzuklären. In diesem Zusammenhang ersuchte es das Amt des Hohen Flüchtlingskommissars der Vereinten Nationen (UNHCR), die beiden Asylverfahren einer Qualitätsprüfung zu unterziehen und anschliessend auch die Dossiers jener Personen zu beurteilen, deren Gesuche rechtskräftig abgelehnt worden sind und die mit der Rückführung nach Sri Lanka hätten rechnen müssen (vgl. Medienmitteilung des BFM vom 3. Oktober 2013 und 4. September 2013). Die Vorinstanz geht damit selbst davon aus, dass der Sachverhalt, wie er ihrer Verfügung vom 7. Juni 2012 zugrunde liegt, offensichtlich nicht vollständig festgestellt ist; denn es besteht kein Zweifel, dass eine neue Lagebeurteilung vor Ort sich auf die konkrete Feststellung des rechtserheblichen Sachverhalts auswirken kann, sei es im Flüchtlings- und Asylpunkt oder im Wegweisungsvollzugspunkt.</w:t>
      </w:r>
    </w:p>
    <w:p>
      <w:r>
        <w:rPr>
          <w:b/>
        </w:rPr>
        <w:t>E. 3.2</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Fehlende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(vgl. Urteil des Bundesverwaltungsgerichts E-4157/2012 vom 4. Oktober 2012 E. 4.6 S. 8). Die vorliegend notwendigen Abklärungen stellen eine relativ aufwändige und umfangreiche Beweiserhebung dar, weshalb die Kassation der angefochtenen Verfügung angezeigt ist.</w:t>
      </w:r>
    </w:p>
    <w:p>
      <w:r>
        <w:rPr>
          <w:b/>
        </w:rPr>
        <w:t>E. 3.3</w:t>
      </w:r>
    </w:p>
    <w:p>
      <w:r>
        <w:t>Die Beschwerde ist demnach insoweit gutzuheissen. Die angefochtene Verfügung ist aufzuheben, die Sache ist zur vollständigen Sachverhaltsfeststellung sowie zu neuer Entscheidung an die Vorinstanz zurückzuweisen; die vorinstanzlichen Akten sowie Kopien der wesentlichen Aktenstücke des Beschwerdedossiers, welches ebenfalls Prozessstoff des vorinstanzlichen Verfahrens bilden wird, sind dem BFM zuzustellen. Auf die formalen und inhaltlichen Vorbringen des Beschwerdeführers ist bei diesem Verfahrensgang nicht weiter einzugehen.</w:t>
      </w:r>
    </w:p>
    <w:p>
      <w:r>
        <w:rPr>
          <w:b/>
        </w:rPr>
        <w:t>E. 4.1</w:t>
      </w:r>
    </w:p>
    <w:p>
      <w:r>
        <w:t>Bei diesem Ausgang des Verfahrens sind keine Kosten zu erheben (Art. 63 Abs. 1 und 2 VwVG).</w:t>
      </w:r>
    </w:p>
    <w:p>
      <w:r>
        <w:rPr>
          <w:b/>
        </w:rPr>
        <w:t>E. 4.2</w:t>
      </w:r>
    </w:p>
    <w:p>
      <w:r>
        <w:t>Dem vertretenen Beschwerdeführer ist sodann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zu den Akten gereicht, weshalb der entstandene Vertretungsaufwand aufgrund der Akten abzuschätzen ist (Art. 14 Abs. 2 Satz 2 VGKE). Die notwendigen Parteikosten sind unter Berücksichtigung der massgebenden Bemessungsfaktoren (vgl. Art. 9-13 VGKE) auf insgesamt Fr. 1'000.-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