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E-3710/2013 vom 6. November 2013</w:t>
      </w:r>
    </w:p>
    <w:p>
      <w:r>
        <w:t>Bundesverwaltungsgericht, 2013-11-06, DE</w:t>
      </w:r>
    </w:p>
    <w:p>
      <w:r>
        <w:rPr>
          <w:b/>
        </w:rPr>
        <w:t xml:space="preserve">Quelle: </w:t>
      </w:r>
      <w:r>
        <w:t>https://mcp.opencaselaw.ch/entscheid/bvger_E-3710_2013</w:t>
      </w:r>
    </w:p>
    <w:p>
      <w:r>
        <w:t>FR: TAF E-3710/2013 du 6 novembre 2013</w:t>
      </w:r>
    </w:p>
    <w:p>
      <w:r>
        <w:t>IT: TAF E-3710/2013 del 6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2.1</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2.2</w:t>
      </w:r>
    </w:p>
    <w:p>
      <w:r>
        <w:t>Das Urteil ergeht gestützt auf die Übergangsbestimmung zur Änderung des Asylgesetzes vom 28. September 2012 (in Kraft getreten am 29. September 2012), wonach für Asylgesuche, die - wie vorliegend - im Ausland vor dem Inkrafttreten der Gesetzesänderung vom 28. September 2012 gestellt worden sind, die (per 29. September 2012 aufgehobenen) altArt. 12, 19, 20, 41 Abs. 2, Art. 52 und 68 in der bisherigen Fassung des Asylgesetzes gelten.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die Durchführung des Schriftenwechsels verzichtet.</w:t>
      </w:r>
    </w:p>
    <w:p>
      <w:r>
        <w:rPr>
          <w:b/>
        </w:rPr>
        <w:t>E. 5.1</w:t>
      </w:r>
    </w:p>
    <w:p>
      <w:r>
        <w:t>Gemäss altArt. 19 AsylG kann ein Asylgesuch im Ausland bei einer Schweizerischen Vertretung gestellt werden, welche es mit einem Bericht an das Bundesamt überweist (altArt.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5.2</w:t>
      </w:r>
    </w:p>
    <w:p>
      <w:r>
        <w:t>Vorliegend wurde die Beschwerdeführerin aus Kapazitätsgründen nicht zu ihren Asylgründen befragt. Vor diesem Hintergrund forderte das BFM die Beschwerdeführerin in seiner Zwischenverfügung vom 11. Februar 2013 auf, eine Reihe von offenen Fragen schriftlich zu beantworten. Gleichzeitig gab es der Beschwerdeführerin Gelegenheit zur Stellungnahme zu einer allfälligen Ablehnung ihres Asyl- und Einreisegesuchs. Die Beschwerdeführerin hat innert Frist eine entsprechende Eingabe zu den Akten gereicht.</w:t>
      </w:r>
    </w:p>
    <w:p>
      <w:r>
        <w:rPr>
          <w:b/>
        </w:rPr>
        <w:t>E. 6.1</w:t>
      </w:r>
    </w:p>
    <w:p>
      <w:r>
        <w:t>Einer Person, welche im Ausland ein Asylgesuch gestellt hat, ist die Einreise in die Schweiz zu bewilligen, wenn eine unmittelbare Gefahr für Leib, Leben oder Freiheit aus einem Grund nach Art. 3 Abs. 1 AsylG glaubhaft gemacht wird (altArt.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(altArt. 20 Abs. 2 AsylG). Die Einreise in die Schweiz ist insbesondere zu verweigern, wenn keine Hin­weise auf eine aktuelle Gefährdung im Sinne von Art. 3 AsylG vorliegen oder ihr zuzumuten ist, sich in einem Drittstaat um Aufnahme zu bemü­hen (altArt. 52 Abs. 2 AsylG).</w:t>
      </w:r>
    </w:p>
    <w:p>
      <w:r>
        <w:rPr>
          <w:b/>
        </w:rPr>
        <w:t>E. 6.2</w:t>
      </w:r>
    </w:p>
    <w:p>
      <w:r>
        <w:t>Für die Erteilung einer Einreisebewilligung gelten restriktive Voraussetzungen, wobei den Behörden ein weiter Ermessensspielraum zu­kommt. Neben der erforderlichen Gefährdung im Sinne von Art. 3 AsylG sind mit Blick auf den Ausschlussgrund von altArt.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w:t>
      </w:r>
    </w:p>
    <w:p>
      <w:r>
        <w:rPr>
          <w:b/>
        </w:rPr>
        <w:t>E. 7.1</w:t>
      </w:r>
    </w:p>
    <w:p>
      <w:r>
        <w:t>Gemäss altArt. 52 Abs. 2 AsylG kann einer Person, die sich im Ausland befindet, das Asyl verweigert werden, wenn es ihr zugemutet werden kann, sich in einem andern Staat um Aufnahme zu bemühen. Hält sich die Person, die ein Asylgesuch aus dem Ausland gestellt hat, in einem Drittstaat auf, ist zwar im Sinn einer Vermutung davon auszugehen, die betreffende Person habe dort bereits Schutz vor Verfolgung gefunden oder könne ihn dort erlangen, weshalb weiter anzunehmen ist, es sei ihr zuzumuten, dort zu verbleiben, beziehungsweise sich dort um Aufnahme zu bemühen. Diese Vermutung ist jedoch widerlegbar und kann sich insbesondere mit Bezug auf die Schutzgewährung durch den Drittstaat (vgl. EMARK 2005 Nr. 19 E. 5.1 S. 176 f.) oder auch auf die Zumutbarkeit der Inanspruchnahme dieses Schutzes als unzutreffend erweisen.</w:t>
      </w:r>
    </w:p>
    <w:p>
      <w:r>
        <w:rPr>
          <w:b/>
        </w:rPr>
        <w:t>E. 7.2</w:t>
      </w:r>
    </w:p>
    <w:p>
      <w:r>
        <w:t>Vor diesem Hintergrund sind praxisgemäss zunächst die gängigen individuellen Kriterien zu prüfen, welche die Zufluchtnahme im betreffenden Drittstaat als zumutbar erscheinen lassen, und diese in einem zweiten Schritt mit der Intensität und Qualität einer allfälligen persönlichen Beziehung zur Schweiz in Bezug zu setzen und diese Kriterien gegeneinander abzuwägen (vgl. etwa Urteil des Bundesverwaltungsgerichts E-8127/2008 vom 12. Mai 2011 E. 5.1; EMARK 2004 Nr. 21 E. 4). Es gilt also zu prüfen, ob es aufgrund der gesamten Umstände des individuellen Einzelfalls geboten erscheint, dass es gerade die Schweiz ist, die den erforderlichen Schutz einer Person gewähren soll (vgl. EMARK 2004 Nr. 21 E. 4, EMARK 1997 Nr. 15 E. 2f).</w:t>
      </w:r>
    </w:p>
    <w:p>
      <w:r>
        <w:rPr>
          <w:b/>
        </w:rPr>
        <w:t>E. 7.3</w:t>
      </w:r>
    </w:p>
    <w:p>
      <w:r>
        <w:t>Das BFM stellte in der angefochtenen Verfügung diesbezüglich fest, Flüchtlinge, welche vom UNHCR registriert worden seien, würden in den Flüchtlingslagern, wo sie sich aufzuhalten hätten, eine hinreichende Versorgung erhalten und es würden keine konkreten Anhaltspunkte für eine drohende Rückführung nach Eritrea vorliegen. Das Gericht teilt in seiner Rechtsprechung die Auffassung einer generellen Zumutbarkeit des Aufenthalts eritreischer Flüchtlinge in den sudanesischen Flüchtlingslagern jedoch nicht. Vielmehr ist eine Einzelfallprüfung unter Abwägung aller ge­mäss Rechtsprechung massgeblicher Kriterien vorzunehmen, wozu auch die Beziehungsnähe zur Schweiz gehört (vgl. Urteil des Bundesverwaltungsgerichts E-326/2013 vom 15. März 2013 E. 7.2.2, m.w.H.). Die Vorinstanz hat es aber in ihren Erwägungen unterlassen, sich mit der persönlichen Situation der Beschwerdeführerin im Sudan auseinanderzusetzen, und der Sachverhalt erweist sich bezüglich ihrer aktuellen dortigen Lebensumstände als nicht genügend erstellt. In der Eingabe ihres Rechtsvertreters vom 7. März 2013 wird in diesem Zusammenhang ausgeführt, die Beschwerdeführerin habe im Sudan keine Verwandten und Bekannten, lebe in Khartum unter prekären Verhältnissen zusammen mit anderen eritreischen Flüchtlingen und müsse sich aufgrund der Gefahr einer Verhaftung durch sudanesische Sicherheitskräfte ständig verstecken. Aufgrund dieser wenig präzisen Angaben lassen sich ihre konkreten Lebensumstände aber nicht hinreichend abschätzen. Den Akten lassen sich - zumal vorliegend von einer persönlichen Anhörung abgesehen worden ist - insbesondere keine Angaben zu den wirtschaftlichen Verhältnissen der Beschwerdeführerin entnehmen; es ist auch nicht geklärt, inwiefern sie im Sudan auf die Unterstützung in finanzieller und sozialer Hinsicht durch ein Beziehungsnetz, namentlich von Landsleuten, zählen kann. Ferner wurde zwar erwähnt, der Ehemann der Beschwerdeführerin lebe als vorläufig aufgenommener Flüchtling in der Schweiz, eine Würdigung der damit bestehenden Beziehungsnähe zur Schweiz im Rahmen einer Abwägung der für und gegen die Zumutbarkeit des Verbleibs im Sudan sprechenden Faktoren ist aber vollständig unterblieben. Demnach kann vorliegend ohne ergänzende Sachverhaltsabklärungen und eine entsprechende Einzelfallprüfung aller nach Massgabe von Art. 52 Abs. 2 AsylG massgeblichen Kriterien nicht über die Frage der Zumutbarkeit der Schutzsuche im Sudan befunden werden.</w:t>
      </w:r>
    </w:p>
    <w:p>
      <w:r>
        <w:rPr>
          <w:b/>
        </w:rPr>
        <w:t>E. 8</w:t>
      </w:r>
    </w:p>
    <w:p>
      <w:r>
        <w:t>Nach dem Gesagten hat die Vorinstanz den rechtserheblichen Sachverhalt nicht vollständig abgeklärt und sich mit den Vorbringen der Beschwerdeführerin nicht hinreichend auseinandergesetzt, womit sie den aus Art. 29 BV folgenden Anspruch der Beschwerdeführerin auf rechtliches Gehör verletzt hat.</w:t>
      </w:r>
    </w:p>
    <w:p>
      <w:r>
        <w:rPr>
          <w:b/>
        </w:rPr>
        <w:t>E. 9</w:t>
      </w:r>
    </w:p>
    <w:p>
      <w:r>
        <w:t>Es stellt sich die Frage, ob die festgestellte Verletzung des rechtlichen Gehörs durch die Beschwerdeinstanz geheilt werden kann oder zur Kassation der angefochtenen Verfügung führen muss. Der Anspruch auf rechtliches Gehör ist formeller Natur, weshalb eine Verletzung grundsätzlich ohne weiteres das heisst ungeachtet der materiellen Auswirkungen zur Aufhebung des daraufhin ergangenen Entscheides führt. Das Bundesverwaltungsgericht geht aber - wie dies schon ständige Praxis der ARK war - davon aus, dass Gehörsverletzungen dank der umfassenden Kognition der Beschwerdeinstanz (vgl. Art. 106 AsylG)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(vgl. BVGE 2009/54 E. 2.5, BVGE 2008/47 E. 3.3.4, m.w.H.). Vorliegend ist der rechtserhebliche Sachverhalt betreffend die zentrale Frage der Prüfung der Zumutbarkeit der Schutzsuche in einem Drittstaat ungenügend erstellt. Es kann nicht Sache der Beschwerdeinstanz sein, dieses Versäumnis nachzuholen; zudem ginge der Beschwerdeführerin dadurch eine Rechtsmittelinstanz verlustig. Schon aus diesen Gründen kommt eine Heilung des Verfahrensmangels nicht in Betracht. Die angefochtene Verfügung der Vorinstanz ist demnach zu kassieren.</w:t>
      </w:r>
    </w:p>
    <w:p>
      <w:r>
        <w:rPr>
          <w:b/>
        </w:rPr>
        <w:t>E. 10</w:t>
      </w:r>
    </w:p>
    <w:p>
      <w:r>
        <w:t>Die obigen Ausführungen und Schlussfolgerungen führen indessen nicht dazu, dass der Beschwerdeführerin die Einreise in die Schweiz bereits deshalb zu bewilligen wäre. Bei der heutigen Aktenlage bestehen keine hinreichenden Anhaltspunkte für die Annahme einer ihr akut drohenden konkreten Gefährdung im Sudan und für die zwingende Unzumutbarkeit des Verbleibs am derzeitigen Aufenthaltsort im Sinne von altArt. 20 Abs. 2 AsylG für die Dauer der weiteren Abklärungen .</w:t>
      </w:r>
    </w:p>
    <w:p>
      <w:r>
        <w:rPr>
          <w:b/>
        </w:rPr>
        <w:t>E. 11</w:t>
      </w:r>
    </w:p>
    <w:p>
      <w:r>
        <w:t>Nach dem Gesagten ist die Beschwerde gutzuheissen, soweit die Aufhebung der angefochtenen Verfügung beantragt worden ist. Die vorinstanzliche Verfügung vom 24. Mai 2013 ist aufzuheben und die Vorinstanz anzuweisen, den rechtserheblichen Sachverhalt vollständig festzustellen und in der Sache neu zu entscheiden.</w:t>
      </w:r>
    </w:p>
    <w:p>
      <w:r>
        <w:rPr>
          <w:b/>
        </w:rPr>
        <w:t>E. 12</w:t>
      </w:r>
    </w:p>
    <w:p>
      <w:r>
        <w:t>Bei diesem Ausgang des Verfahrens sind keine Verfahrenskosten zu erheben (Art. 63 Abs. 1 VwVG). Der Antrag der Beschwerdeführerin auf Erlass der Verfahrenskosten (Art. 65 Abs. 1 VwVG) wird damit gegen-standslos.</w:t>
      </w:r>
    </w:p>
    <w:p>
      <w:r>
        <w:rPr>
          <w:b/>
        </w:rPr>
        <w:t>E. 13</w:t>
      </w:r>
    </w:p>
    <w:p>
      <w:r>
        <w:t>Sodann ist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im Beschwerdeverfahren zuzu­sprechen. Es wurde keine Kostennote zu den Akten gereicht, weshalb der notwendige Vertretungsaufwand aufgrund der Akten festzusetzen ist (vgl. Art. 14 Abs. 2 in fine VGKE). Unter Berücksichtigung der massgebenden Bemessungsfaktoren (vgl. Art. 8 ff. VGKE) ist die Parteientschädigung von Amtes wegen auf insgesamt Fr. 900.- (inkl. sämtlicher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