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E-3708/2014 vom 25. September 2014</w:t>
      </w:r>
    </w:p>
    <w:p>
      <w:r>
        <w:t>Bundesverwaltungsgericht, 2014-09-25, DE</w:t>
      </w:r>
    </w:p>
    <w:p>
      <w:r>
        <w:rPr>
          <w:b/>
        </w:rPr>
        <w:t xml:space="preserve">Quelle: </w:t>
      </w:r>
      <w:r>
        <w:t>https://mcp.opencaselaw.ch/entscheid/bvger_E-3708_2014</w:t>
      </w:r>
    </w:p>
    <w:p>
      <w:r>
        <w:t>FR: TAF E-3708/2014 du 25 septembre 2014</w:t>
      </w:r>
    </w:p>
    <w:p>
      <w:r>
        <w:t>IT: TAF E-3708/2014 del 25 settembre 2014</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3.1</w:t>
      </w:r>
    </w:p>
    <w:p>
      <w:r>
        <w:t>Der Beschwerdeführer rügt eine unvollständige Feststellung des rechtserheblichen Sachverhalt.</w:t>
      </w:r>
    </w:p>
    <w:p>
      <w:r>
        <w:rPr>
          <w:b/>
        </w:rPr>
        <w:t>E. 3.2</w:t>
      </w:r>
    </w:p>
    <w:p>
      <w:r>
        <w:t>Unvollständige ist die Sachverhaltsfeststellung, wenn nicht alle für den Entscheid rechtswesentlichen Sachumstände berücksichtigt werden (Kölz/Häner/Bertschi, Verwaltungsverfahren und Verwaltungsrechtspflege des Bundes, 3. Aufl. 2013, Rz. 630).</w:t>
      </w:r>
    </w:p>
    <w:p>
      <w:r>
        <w:rPr>
          <w:b/>
        </w:rPr>
        <w:t>E. 3.3</w:t>
      </w:r>
    </w:p>
    <w:p>
      <w:r>
        <w:t>Auf Beschwerdestufe macht der Beschwerdeführer neu geltend, er sei am 3. August 2014 Vater eines zweiten Sohnes geworden. E._______ sei anlässlich eines Besuchs bei seiner Frau hier in der Schweiz im November 2013 gezeugt worden. In ihrer Vernehmlassung hat die Vorinstanz Zweifel an der geltend gemachten Vaterschaft des Beschwerdeführers geäussert. Dieses neue Beschwerdevorbringen ist mit Blick auf die Feststellung des Sachverhalts zweifellos wesentlich. Das Vorbringen beruht indes lediglich auf einer Parteibehauptung des Beschwerdeführers, lässt sich aber - wie bereits betreffend das erste Kind des Beschwerdeführers - durch einen Vaterschaftstest ohne weiteres verifizieren. Das Bundesverwaltungsgericht hat die Kompetenz, den festgestellten Sachverhalt ohne Einschränkung zu überprüfen (vgl. Art. 106 Abs. 1 Bst. b AsylG) und stellt grundsätzlich auf den Sachverhalt ab, wie er sich im Zeitpunkt des Urteils verwirklicht hat (BVGE 2012/21 E. 5). Es kann indes nicht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(BVGE 2012/21 E. 5; ferner Urteil des Bundesverwaltungsgerichts E-2011/2012 vom 14. November 2013 E. 3.2).</w:t>
      </w:r>
    </w:p>
    <w:p>
      <w:r>
        <w:rPr>
          <w:b/>
        </w:rPr>
        <w:t>E. 3.4</w:t>
      </w:r>
    </w:p>
    <w:p>
      <w:r>
        <w:t>Aufgrund der unklaren Vaterschaft des Beschwerdeführers betreffend des Sohnes E._______ ist die angefochtene Verfügung aufzuheben und die Sache zur vollständigen Sachverhaltsfeststellung und zu neuer Entscheidung an die Vorinstanz zurückzuweisen. Die Beschwerde ist gutzuheissen. Damit besteht an der Beurteilung der konkreten Beschwerdevorbringen kein schutzwürdiges Interesse mehr.</w:t>
      </w:r>
    </w:p>
    <w:p>
      <w:r>
        <w:rPr>
          <w:b/>
        </w:rPr>
        <w:t>E. 4.1</w:t>
      </w:r>
    </w:p>
    <w:p>
      <w:r>
        <w:t>Bei diesem Ausgang des Verfahrens sind dem Beschwerdeführer keine Verfahrenskosten aufzuerlegen (Art. 63 Abs. 1 VwVG). Damit ist das Gesuch um Gewährung der unentgeltlichen Rechtspflege gegenstandslos geworden.</w:t>
      </w:r>
    </w:p>
    <w:p>
      <w:r>
        <w:rPr>
          <w:b/>
        </w:rPr>
        <w:t>E. 4.2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Dem nicht vertretenen Beschwerdeführer sind aus dem vorliegenden Verfahren keine verhältnismässig hohen Kosten erwachsen, weshalb ihm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