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E-3704/2012 vom 19. Juli 2012</w:t>
      </w:r>
    </w:p>
    <w:p>
      <w:r>
        <w:t>Bundesverwaltungsgericht, 2012-07-19, DE</w:t>
      </w:r>
    </w:p>
    <w:p>
      <w:r>
        <w:rPr>
          <w:b/>
        </w:rPr>
        <w:t xml:space="preserve">Quelle: </w:t>
      </w:r>
      <w:r>
        <w:t>https://mcp.opencaselaw.ch/entscheid/bvger_E-3704_2012</w:t>
      </w:r>
    </w:p>
    <w:p>
      <w:r>
        <w:t>FR: TAF E-3704/2012 du 19 juillet 2012</w:t>
      </w:r>
    </w:p>
    <w:p>
      <w:r>
        <w:t>IT: TAF E-3704/2012 del 19 luglio 2012</w:t>
      </w:r>
    </w:p>
    <w:p>
      <w:pPr>
        <w:pStyle w:val="Heading2"/>
      </w:pPr>
      <w:r>
        <w:t>Regeste</w:t>
      </w:r>
    </w:p>
    <w:p>
      <w:r>
        <w:t>Nichteintreten auf Asylgesuch (erneutes Asylverfahren Schweiz)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52 VwVG und Art. 108 Abs. 2 AsylG) ist einzutreten.</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Gemäss Art. 32 Abs. 2 Bst. e AsylG wird auf ein Asylgesuch nicht eingetreten, wenn die asylsuchende Person in der Schweiz bereits erfolglos ein Asylverfahren durchlaufen hat oder während des hängigen Asylverfahrens in den Heimat- oder Herkunftsstaat zurückgekehrt ist, ausser es gebe Hinweise, dass in der Zwischenzeit Ereignisse eingetreten sind, die geeignet sind, die Flüchtlingseigenschaft zu begründen, oder die für die Gewährung vorübergehenden Schutzes relevant sind.</w:t>
      </w:r>
    </w:p>
    <w:p>
      <w:r>
        <w:rPr>
          <w:b/>
        </w:rPr>
        <w:t>E. 3.2</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Da die Vorinstanz die Frage der Wegweisung und des Vollzugs materiell geprüft hat, kommt dem Bundesverwaltungsgericht diesbezüglich volle Kognition zu.</w:t>
      </w:r>
    </w:p>
    <w:p>
      <w:r>
        <w:rPr>
          <w:b/>
        </w:rPr>
        <w:t>E. 4.1</w:t>
      </w:r>
    </w:p>
    <w:p>
      <w:r>
        <w:t>Die Vorinstanz begründet die angefochtene Verfügung damit, dass das frühere Asylverfahren seit dem 4. April 2012 rechtkräftig sei. Aus den Aussagen der Beschwerdeführenden seien keine Hinweise zu entnehmen, dass in der Zwischenzeit asylbeachtliche Ereignisse eingetreten seien. Das Vorbringen, der Beschwerdeführer sei homosexuell und habe aus diesem Grund verschiedenen Nachteile erlitten, sei unglaubhaft. Im Übrigen hätten die Beschwerdeführenden in den früheren Asylverfahren hinreichend Gelegenheit gehabt, solche Umstände zumindest zu erwähnen. Aus den Akten ergäben sich keine Hinweise, dass zwischenzeitlich Ereignisse eingetreten seien, welche die Flüchtlingseigenschaft zu begründen vermöchten oder für die Gewährung vorübergehenden Schutzes relevant wären.</w:t>
      </w:r>
    </w:p>
    <w:p>
      <w:r>
        <w:rPr>
          <w:b/>
        </w:rPr>
        <w:t>E. 4.2</w:t>
      </w:r>
    </w:p>
    <w:p>
      <w:r>
        <w:t>Die Beschwerdeführenden bringen dagegen einzig vor, sie hätten in Serbien keine Wohnung und wegen ihrer Probleme Angst vor einer Rückkehr nach Serbien. Sie würden darauf hoffen, in der Schweiz bleiben zu dürfen.</w:t>
      </w:r>
    </w:p>
    <w:p>
      <w:r>
        <w:rPr>
          <w:b/>
        </w:rPr>
        <w:t>E. 5.1</w:t>
      </w:r>
    </w:p>
    <w:p>
      <w:r>
        <w:t>Bei der Prüfung, ob Hinweise auf eine Verfolgung im Sinne von Art. 32 Abs. 2 Bst. e AsylG vorliegen, welche geeignet sind, die Flüchtlingseigenschaft zu begründen, ist praxisgemäss vom engen Verfolgungsbegriff im Sinne von Art. 3 AsylG auszugehen. Dabei ist ein gegenüber der Glaubhaftmachung reduzierter Beweismassstab anzusetzen: Auf ein Asylgesuch muss eingetreten werden, wenn sich Hinweise auf eine relevante Verfolgung ergeben, die nicht zum Vornherein haltlos sind (vgl. BVGE 2009/53 E. 4.2 S. 769, BVGE 2008/57 E. 3.2 S. 780).</w:t>
      </w:r>
    </w:p>
    <w:p>
      <w:r>
        <w:rPr>
          <w:b/>
        </w:rPr>
        <w:t>E. 5.2</w:t>
      </w:r>
    </w:p>
    <w:p>
      <w:r>
        <w:t>Die Beschwerdeführenden machten im vorinstanzlichen Verfahren geltend, der Beschwerdeführer A._______ sei homosexuell und da solche Umstände rasch bekannt würden, hätten die Dorfbewohner und die Polizei davon gewusst; der Beschwerdeführer sei deshalb von der Polizei aus ihrem Wohnort in Serbien vertrieben worden. Als Rechtfertigung dafür, dass diese Schilderungen erst im dritten Asylverfahren vorgebracht wurden, gaben die Beschwerdeführenden zu Protokoll, sie hätten vermeiden wollen, dass die Kinder davon erfahren würden. Dieses Argument überzeugt nicht, da nicht einleuchten mag, weshalb die Dorfbevölkerung und die Polizei von der Homosexualität des Familienvaters gewusst haben sollen, die jugendlichen Kinder jedoch nicht. Aufgrund dieses untauglichen Rechtfertigungsversuches sind diese Vorbringen als nachgeschoben und als offensichtlich unglaubhaft zu qualifizieren, womit darauf verzichtet werden kann, auf weitere Unstimmigkeiten ihrer Vorbringen einzugehen. Im Verfahren vor Bundesverwaltungsgericht werden ebenfalls keine Hinweise auf eine relevante Verfolgung vorgebracht.</w:t>
      </w:r>
    </w:p>
    <w:p>
      <w:r>
        <w:rPr>
          <w:b/>
        </w:rPr>
        <w:t>E. 5.3</w:t>
      </w:r>
    </w:p>
    <w:p>
      <w:r>
        <w:t>Aus dem Gesagten folgt, dass die Vorinstanz auf die Asylgesuche der Beschwerdeführenden zu Recht nicht eingetreten ist.</w:t>
      </w:r>
    </w:p>
    <w:p>
      <w:r>
        <w:rPr>
          <w:b/>
        </w:rPr>
        <w:t>E. 6</w:t>
      </w:r>
    </w:p>
    <w:p>
      <w:r>
        <w:t>Gemäss Art. 44 Abs. 1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(BVGE 2009/50 E. 9). Das Bundesamt hat die Anordnung der Wegweisung zu Recht verfügt.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der Wegweisung ist nach Art. 83 Abs. 3 AuG unzulässig, wenn völkerrechtliche Verpflichtungen der Schweiz einer Weiterreise der Ausländerin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Aussagen der Beschwerdeführenden und den Akten ergeben sich keine konkreten Anhaltspunkte dafür, dass sie für den Fall einer Ausschaffung in ihr Heimatland dort mit beachtlicher Wahrscheinlichkeit einer nach Art. 3 EMRK oder Art. 1 FoK verbotenen Strafe oder Behandlung ausgesetzt wären. Der Vollzug der Wegweisung ist somit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In Serbien herrscht keine Situation allgemeiner Gewalt, weshalb in konstanter Praxis von der generellen Zumutbarkeit des Wegweisungsvollzugs dorthin ausgegangen wird. Die Beschwerdeführenden geben an, praktisch ihr ganzes bisheriges Leben in Serbien verbracht zu haben, womit anzunehmen ist, dass sie dort sowohl über ein soziales wie auch familiäres Beziehungsnetz verfügen. Zudem war der Familienvater gemäss seinen Angaben als [Beruf] tätig, womit er sich bei einer Rückkehr auch beruflich wieder integrieren dürfte. Deshalb ist nicht davon auszugehen, die Beschwerdeführenden gerieten bei einer Rückkehr aus individuellen Gründen wirtschaftlicher und sozialer Natur in eine existenzbedrohende Situation. Die Beschwerdeführenden geben an, regelmässig [Medikamente] einzunehmen; dieser Umstand stellt kein vollzugsrelevantes gesundheitliches Problem dar. Im Übrigen sind die Beschwerdeführenden gemäss Akten gesund. Falls Kinder vom Wegweisungsvollzug betroffen sind, ist gemäss der Rechtsprechung des Bundesverwaltungsgerichts das Kindeswohl im Rahmen der Zumutbarkeitsprüfung zu berücksichtigen, was sich nicht zuletzt aus einer völkerrechtskonformen Auslegung von Art. 83 Abs. 4 AuG im Lichte von Art. 3 Abs. 1 des Übereinkommens vom 20. November 1989 über die Rechte des Kindes (KRK, SR 0.107) ergibt. Bei einem längeren Aufenthalt ist namentlich der Grad der erfolgten Integration in der Schweiz zu beurteilen und bei entsprechender Verwurzelung zu prüfen, ob sie eine Entwurzelung im Heimatstaat zur Folge haben kann (vgl. dazu BVGE 2009/28 E. 9.3.2 S.267 f. und BVGE 2009/51 E. 5.6 S. 749 mit weiteren Hinweisen). Die Kinder sind vorliegend 13 und 15 Jahre alt. Die Beschwerdeführenden hielten sich im Jahre 2011 einige Monate in der Schweiz auf, bevor sie ausreisten. Seit ihrer Rückkehr aus [Drittstaat] halten sie sich erst seit einem Monat in der Schweiz auf. Angesichts der zeitlichen Verhältnisse liegt von vornherein kein längerer Aufenthalt in der Schweiz vor, weshalb trotz des jugendlichen Alters nicht von einer fortgeschrittenen Integration in der Schweiz auszugehen ist Damit erweist sich der Wegweisungsvollzug der Beschwerdeführenden nach Serbien als zumutbar.</w:t>
      </w:r>
    </w:p>
    <w:p>
      <w:r>
        <w:rPr>
          <w:b/>
        </w:rPr>
        <w:t>E. 7.4</w:t>
      </w:r>
    </w:p>
    <w:p>
      <w:r>
        <w:t>Der Vollzug ist schliesslich nach Art. 83 Abs. 2 AuG als möglich zu bezeichnen, weil es dem Beschwerdeführer obliegt, sich bei der zuständigen Vertretung des Heimatstaates die für eine Rückkehr notwendigen Reisedokumente zu beschaffen (vgl. BVGE 2008/34 E. 12 S. 513-515). Gemäss Akten sind die Beschwerdeführenden alle im Besitz eines serbischen Reisepasses.</w:t>
      </w:r>
    </w:p>
    <w:p>
      <w:r>
        <w:rPr>
          <w:b/>
        </w:rPr>
        <w:t>E. 8</w:t>
      </w:r>
    </w:p>
    <w:p>
      <w:r>
        <w:t>Aus den vorstehenden Erwägungen ergibt sich, dass die angefochtene Verfügung Bundesrecht nicht verletzt und auch kein anderer Beschwerdegrund erfüllt ist (Art. 106 Abs. 1 AsylG). Die Beschwerde ist abzuweisen.</w:t>
      </w:r>
    </w:p>
    <w:p>
      <w:r>
        <w:rPr>
          <w:b/>
        </w:rPr>
        <w:t>E. 9</w:t>
      </w:r>
    </w:p>
    <w:p>
      <w:r>
        <w:t>Bei diesem Ausgang des Verfahrens haben die Beschwerdeführenden die Kosten des vorliegenden Verfahrens zu tragen (Art. 63 Abs. 1 VwVG), die auf Fr. 600.- festzusetzen sind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