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E-3703/2018 vom 13. November 2020</w:t>
      </w:r>
    </w:p>
    <w:p>
      <w:r>
        <w:t>Bundesverwaltungsgericht, 2020-11-13, DE</w:t>
      </w:r>
    </w:p>
    <w:p>
      <w:r>
        <w:rPr>
          <w:b/>
        </w:rPr>
        <w:t xml:space="preserve">Quelle: </w:t>
      </w:r>
      <w:r>
        <w:t>https://mcp.opencaselaw.ch/entscheid/bvger_E-3703_2018</w:t>
      </w:r>
    </w:p>
    <w:p>
      <w:r>
        <w:t>FR: TAF E-3703/2018 du 13 novembre 2020</w:t>
      </w:r>
    </w:p>
    <w:p>
      <w:r>
        <w:t>IT: TAF E-3703/2018 del 13 novembre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1-3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Ihr während des Beschwerdeverfahren geborenes zweites Kind ist praxisgemäss in dieses Verfahren einzubeziehen.</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führte zur Begründung ihrer Verfügung im Wesentlichen aus, die Ausführungen des Beschwerdeführers zu seinen regimekritischen Aktivitäten und der angeblich daraus resultierenden Verfolgung durch das syrische Regime seien unsubstanziiert und oberflächlich. Die angeblichen Vorladungen habe er erst nach mehrmaligem Nachfragen erwähnt. Auch die Bedrohung durch die YPG, insbesondere die ihm angedrohten Konsequenzen wegen seiner Weigerung, sich diesen anzuschliessen, habe er nicht substanziiert und plausibel geschildert. Wäre die YPG tatsächlich am Beschwerdeführer interessiert gewesen, wäre zu erwarten gewesen, dass sie beharrlicher nach ihm gesucht hätten. Diese Einschätzung der Vorbringen der Beschwerdeführenden werde dadurch verstärkt, dass sie bei der BzP als Grund für ihre Ausreise als Syrien nur die allgemeine Kriegssituation genannt hätten. Die vom Beschwerdeführer erwähnte kurzzeitige Festnahme Ende des neunten Schuljahres habe gemäss seinen Aussagen nicht zu seiner späteren Ausreise aus Syrien geführt. Zudem sei dieser Vorfall auch nicht hinreichend intensiv gewesen um die Voraussetzungen einer Verfolgung im Sinne von Art. 3 AsylG zu erfüllen. Auch die von ihm vorgebrachten Schikanen vor und nach seiner Einbürgerung, namentlich als staatenloser Kurde, seien keine flüchtlingsrechtlich relevanten Nachteile. Die von den Beschwerdeführenden geltend gemachten Gefahren und Befürchtungen im Zusammenhang mit dem Bürgerkrieg würden schliesslich keine gezielt gegen sie gerichteten Massnahmen darstellen, weshalb auch insoweit keine asylrelevante Verfolgung vorliege.</w:t>
      </w:r>
    </w:p>
    <w:p>
      <w:r>
        <w:rPr>
          <w:b/>
        </w:rPr>
        <w:t>E. 5</w:t>
      </w:r>
    </w:p>
    <w:p>
      <w:r>
        <w:t>Das Gericht gelangt zum Schluss, dass die Vorinstanz zu Recht und mit zutreffender Begründung festgestellt hat, dass die Beschwerdeführenden die Voraussetzungen für die Zuerkennung der Flüchtlingseigenschaft nicht erfüllen. Die Ausführungen in der Beschwerdeschrift vermögen keine andere Einschätzung zu rechtfertigen.</w:t>
      </w:r>
    </w:p>
    <w:p>
      <w:r>
        <w:rPr>
          <w:b/>
        </w:rPr>
        <w:t>E. 5.1</w:t>
      </w:r>
    </w:p>
    <w:p>
      <w:r>
        <w:t>Soweit die Beschwerdeführenden vorbringen, der Beschwerdeführer müsse mit asylrelevanter Verfolgung durch das syrische Regime rechnen, weil er sich der Einberufung zum Militärdienst entzogen habe, ist festzustellen, dass er gemäss seinen Aussagen nie ein konkretes Aufgebot der Militärbehörden zum Militärdienst erhalten hat. Es ist demnach nicht davon auszugehen, dass der Beschwerdeführer vom syrischen Regime als Refraktär betrachtet wird. Ohnehin vermag gemäss dem Grundsatzentscheid BVGE 2015/3 eine Wehrdienstverweigerung oder Desertion nicht alleinig, sondern nur dann die Flüchtlingseigenschaft zu begründen, wenn damit eine Verfolgung im Sinne von Art. 3 Abs. 1 AsylG verbunden ist; dies bedeutet mit anderen Worten, dass die betroffene Person aus den in dieser Norm genannten Gründen (Rasse, Religion, Nationalität, Zugehörigkeit zu einer bestimmten sozialen Gruppe oder politische Anschauung) wegen Wehrdienstverweigerung oder Desertion eine Behandlung zu gewärtigen hat, die ernsthaften Nachteilen gemäss Art. 3 Abs. 2 AsylG gleichkommt (vgl. a.a.O. E. 5.9). Eine solche Konstellation liegt vorliegend indessen nicht vor, da sich - wie im Folgenden auszuführen ist aus den Akten keine stichhaltigen Anhaltspunkte dafür ergeben, dass der Beschwerdeführer vom syrischen Regime als politischer Gegner eingestuft und unverhältnismässig hart bestraft würde. Demnach kann er aus den von ihm zitierten Verfahren, in welchen angeblich in vergleichbaren Konstellationen die Flüchtlingseigenschaft zuerkannt worden sei, nichts zu seinen Gunsten ableiten. Auf die Einforderung der angebotenen Übersetzung der durch die syrische Regierung beschlossenen Sanktionen gegen Militärdienstverweigerer kann unter den gegebenen Umständen verzichtet werden.</w:t>
      </w:r>
    </w:p>
    <w:p>
      <w:r>
        <w:rPr>
          <w:b/>
        </w:rPr>
        <w:t>E. 5.2</w:t>
      </w:r>
    </w:p>
    <w:p>
      <w:r>
        <w:t>Zu Recht hat die Vorinstanz festgestellt, dass die Ausführungen des Beschwerdeführers zu seinem regimekritischen Engagement und der Reaktion der syrischen Behörden hierauf vage und detailarm ausgefallen sind und kaum Realkennzeichen aufweisen. Dass die Behörden ihn der Teilnahme an Kundgebungen in H._______ beschuldigen würden und er bei diesen als Mitglied der Peshwaru-Partei registriert sei, sind blosse, nicht näher substanziierte Vermutungen. Es erscheint unplausibel, dass die Angehörigen des Beschwerdeführers angeblich wegen ihrer Tätigkeit für die genannte Partei immer wieder vorgeladen worden seien, ohne dass ihr Engagement aber weitergehende Konsequenzen gehabt habe. Zudem vermochte der Beschwerdeführer keine schlüssigen Angaben zum Hintergrund der Vorladungen durch das Regime im Jahr 2012, denen er keine Folge geleistet habe, zu machen. Eine glaubhafte Verfolgungsfurcht lässt sich auch aus dem im Beschwerdeverfahren eingereichten Strafregisterauszug nicht ableiten. Aufgrund der grassierenden Korruption sind nicht nur Fälschungen unterschiedlichster Qualität erhältlich, sondern es können in Syrien gegen Bezahlung auch (inhaltlich falsche) echte amtliche Dokumente beschafft werden. Daher ist selbst einem formal authentischen amtlichen Dokument nur dann eine relevante Beweiskraft beizumessen, wenn dieses im Kontext eines hinreichend schlüssigen Sachverhaltsvortrages eingereicht wird (vgl. Urteile des BVGer D-4540/2020 vom 25. September 2020 E. 8.3 und D-5750/2017 vom 13. Mai 2019 E. 4.3). Vorliegend ist dies offenkundig nicht der Fall. Vielmehr ergeben sich aus diesem Dokument weitere Ungereimtheiten: Zum einen erweckt die auffallend vage Bezeichnung der gegen den Beschwerdeführer verhängten Strafe ("Gefängnisstrafe und Busse") Zweifel an der Authentizität dieses Dokuments. Im Weiteren erscheint nicht nachvollziehbar, dass der Beschwerdeführer im erstinstanzlichen Verfahren nicht erwähnte, dass gegen ihn ein Strafverfahren eingeleitet worden sei und auch keine Suchbemühungen oder andere Verfolgungsmassnahmen der syrischen Behörden im Zusammenhang mit dem angeblich am 5. März 2012 gegen ihn ausgefällten Strafurteil geltend gemacht wurden. Unter diesen Umständen kann dem Strafregisterauszug kein Beweiswert beigemessen werden.</w:t>
      </w:r>
    </w:p>
    <w:p>
      <w:r>
        <w:rPr>
          <w:b/>
        </w:rPr>
        <w:t>E. 5.3</w:t>
      </w:r>
    </w:p>
    <w:p>
      <w:r>
        <w:t>Im Übrigen ist festzustellen, dass eine allfällige Aufforderung zum militärischen Dienst bei den YPG nicht aus einem der in Art. 3 AsylG genannten Motiven, sondern gestützt auf den Wohnort, das Alter und das Geschlecht erfolgen würde, weshalb eine Bestrafung wegen Nichtbefolgens dieser Aufforderung nicht als asylerheblich zu qualifizieren wäre. In Ermangelung eines asylrelevanten Verfolgungsmotivs wäre eine drohende Bestrafung somit lediglich unter dem Aspekt der Unzulässigkeit respektive Unzumutbarkeit des Wegweisungsvollzugs relevant, welcher aufgrund der vom SEM bereits angeordneten vorläufigen Aufnahme hier nicht Prozessgegenstand ist (vgl. Urteil des BVGer D-317/2015 vom 1. März 2016 E. 5.9.4, m.w.H.).</w:t>
      </w:r>
    </w:p>
    <w:p>
      <w:r>
        <w:rPr>
          <w:b/>
        </w:rPr>
        <w:t>E. 5.4</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6.3</w:t>
      </w:r>
    </w:p>
    <w:p>
      <w:r>
        <w:t>Da das SEM in seiner Verfügung vom 25. Mai 2018 die vorläufige Aufnahme der Beschwerdeführenden in der Schweiz angeordnet hat, erübrigen sich, wie erwähnt, praxisgemäss Ausführungen zur Zulässigkeit, Zumutbarkeit und Möglichkeit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