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E-3701/2015 vom 5. April 2016</w:t>
      </w:r>
    </w:p>
    <w:p>
      <w:r>
        <w:t>Bundesverwaltungsgericht, 2016-04-05, FR</w:t>
      </w:r>
    </w:p>
    <w:p>
      <w:r>
        <w:rPr>
          <w:b/>
        </w:rPr>
        <w:t xml:space="preserve">Quelle: </w:t>
      </w:r>
      <w:r>
        <w:t>https://mcp.opencaselaw.ch/entscheid/bvger_E-3701_2015</w:t>
      </w:r>
    </w:p>
    <w:p>
      <w:r>
        <w:t>FR: TAF E-3701/2015 du 5 avril 2016</w:t>
      </w:r>
    </w:p>
    <w:p>
      <w:r>
        <w:t>IT: TAF E-3701/2015 del 5 aprile 2016</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Tribunal considère que le récit du recourant, contrairement à l'appréciation du SEM, peut être tenu pour vraisemblable. En effet, le procès-verbal de l'audition réalisée par le SEM, en date du 27 avril 2015 montre que l'intéressé a fourni une description précise et détaillée des événements dépeints, répondant de manière exhaustive aux questions posées, et expliquant de manière convaincante les points sur lesquels le SEM demandait des éclaircissements. De plus, le récit qu'il a fait à l'autorité de première instance ne comporte pas d'éléments illogiques ou par trop improbables ; il s'accorde en outre avec le contexte sécuritaire prévalant au Darfour. Certes, le SEM a relevé certaines contradictions entre les versions présentées par l'intéressé dans les deux auditions. Le recourant les justifie par des problèmes de santé et des imprécisions de traduction, qu'il n'a cependant aucunement documentés. Il demeure que ces contradictions ne revêtent pas une portée décisive. Ainsi, peu importe la raison exacte qu'ont donné les Janjawids, en 2012, pour maltraiter le recourant, et la date précise de ces sévices ; le fait reste que ces mauvais traitements ont eu lieu, ce que l'autorité de première instance ne remet pas en cause. De même, il n'est pas essentiel de déterminer à quelle heure de la journée le village de C._______ a été attaqué en avril 2013, ni combien de compagnons de l'intéressé ont été violés (deux ou trois), ni le nombre de villageois capturés avec le recourant ; dans la marche pour rejoindre le camp militaire, plusieurs personnes auraient d'ailleurs été ajoutées successivement au groupe (cf. audition du 27 avril 2015, question 23). L'intéressé a certes d'abord prétendu avoir rejoint C._______ après son évasion, avant de se rendre à G._______, alors qu'il a ensuite dit avoir gagné directement cette dernière localité. Toutefois, cette divergence, qui porte sur un point de détail, ne suffit pas à établir l'invraisemblance du récit relatif à la fuite, qui est resté constant sur tous les autres points. De la même manière, le SEM fait à juste titre grief au recourant de n'avoir d'abord rien dit de sa période passée dans l'armée en 2009, et de sa désertion ; il s'agit cependant là d'un élément très antérieur au départ du pays d'origine, qui n'est pas en relation avec ce dernier et ne constitue pas un des motifs d'asile invoqués. De manière plus globale, le Tribunal constate qu'au vu des rapports médicaux produits, le dernier en date étant particulièrement détaillé et étayé, l'intéressé porte de multiples cicatrices pouvant manifestement résulter de sévices, qu'ils aient été infligés en 2012 ou 2013 ; la divergence relevée par le SEM au sujet des dates de ces cicatrices n'est donc pas essentielle. Enfin, les signes d'émotion intense que le recourant a montré lors des deux auditions (relevés dans les procès-verbaux), et qu'il n'a guère pu feindre, ainsi que les traumatismes psychiques graves qu'il présente, pour lesquels un traitement de longue durée a été institué, plaident également en faveur de la crédibilité de ses dires. Le Tribunal admet donc que le récit du recourant est substantiellement exact, et dénote l'existence d'une persécution se trouvant à l'origine du départ ; en effet, il a été la victime d'atteintes graves à son intégrité corporelle, infligées par une milice armée agissant avec le soutien de l'Etat, puis par les forces militaires régulières, en raison de son appartenance à une ethnie négro-africaine (art. 3 al. 1 et 2 LAsi).</w:t>
      </w:r>
    </w:p>
    <w:p>
      <w:r>
        <w:rPr>
          <w:b/>
        </w:rPr>
        <w:t>E. 3.2</w:t>
      </w:r>
    </w:p>
    <w:p>
      <w:r>
        <w:t>Les événements décrits sont de plus compatibles avec la situation qui régnait au Darfour au moment du départ de l'intéressé, et qui ne s'est pas substantiellement modifiée depuis lors, malgré les pourparlers de paix engagés depuis plusieurs années (cf. Asylum Research Consultancy, Darfur Country Report, octobre 2015, pt. 3.4, 3.5 et 4.1 ; International Crisis Group, The Chaos in Darfur, avril 2015). En effet, bien que le conflit ait vu se multiplier les groupes armés au fil du temps et se soit complexifié, les milices janjawid, ainsi que d'autres groupes armés agissant souvent avec la connivence ou le soutien du gouvernement soudanais, continuent à s'en prendre aux personnes et aux groupes d'ethnies négro-africaines. A partir de 2013, les milices janjawid, parfois devenue très indépendantes, ont été reprise en main par l'armée soudanaise et réunies au sein des Rapid Support Forces (RSF), ce qui ne les empêche pas de conserver une forte marge d'autonomie. Dans ce contexte, il est courant que les villages peuplés par les ethnies négro-africaines soient attaqués par ces milices, afin d'en faire fuir les habitants, désorganiser les mouvements rebelles, et aussi dans un simple but de pillage. La relation qu'a faite le recourant de l'attaque contre sa localité est ainsi parfaitement crédible ; en outre, il est attesté que la localité de C._______ a bien été prise d'assaut par l'armée soudanaise en avril 2013.</w:t>
      </w:r>
    </w:p>
    <w:p>
      <w:r>
        <w:rPr>
          <w:b/>
        </w:rPr>
        <w:t>E. 4.1</w:t>
      </w:r>
    </w:p>
    <w:p>
      <w:r>
        <w:t>Demeure à régler la question d'une possibilité de refuge interne disponible pour recourant hors du Darfour, et plus spécialement à Khartoum. A ce sujet, la jurisprudence (ATAF 2013/5 consid. 5.4-5.5 p. 55-59) a posé qu'un tel refuge existait en principe dans la capitale, où un risque de nouvelle persécution ne pouvait être retenu, dans la mesure où l'exécution du renvoi y était raisonnablement exigible ; pour en trancher, il y a lieu de se baser sur les critères retenus à l'ATAF 2011/51, qui consacre la théorie de la protection. Selon cet arrêt (consid. 8.5-8.7 p. 1022-1025), l'existence d'un refuge interne ne peut être admise que si la personne intéressée peut y trouver une protection effective, les structures étatiques y étant suffisamment solides, si elle peut l'atteindre et y séjourner de manière légale, et si son retour y est raisonnablement exigible au sens de l'art. 83 al. 4 LEtr (RS 142.20), au vu des conditions générales que connaît le lieu de refuge et des circonstances spécifiques au requérant.</w:t>
      </w:r>
    </w:p>
    <w:p>
      <w:r>
        <w:rPr>
          <w:b/>
        </w:rPr>
        <w:t>E. 4.2</w:t>
      </w:r>
    </w:p>
    <w:p>
      <w:r>
        <w:t>En l'espèce, c'est sur ce dernier point que l'autorité d'asile doit porter son attention, eu égard aux troubles psychiques touchant l'intéressé. Le Tribunal rappelle que l'exécution du renvoi des personnes en traitement médical en Suisse ne devient inexigible que dans la mesure où, une fois rentrées, elles pourraient ne plus recevoir les soins essentiels garantissant des conditions minimales d'existence ; par soins essentiels, il faut entendre les soins de médecine générale et d'urgence absolument nécessaires à la garantie de la dignité humaine (cf. Jurisprudence et informations de la Commission suisse de recours en matière d'asile [JICRA] 2003 n° 24 consid. 5b p. 157 s.). Il n'y a pas en revanche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(cf. JICRA 2003 n° 24 précitée, JICRA 1993 n° 38 p. 274 s.). Ainsi, il ne suffit pas en soi de constater, pour admettre l'inexigibilité de l'exécution du renvoi, qu'un traitement prescrit en Suisse ne pourrait être poursuivi tel quel dans le pays d'origine. Si les soins essentiels nécessaires peuvent être assurés dans le pays d'origine ou de provenance de l'étranger concerné, le cas échéant avec d'autres médications que celles prescrites en Suisse,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consid. 9.3.2 p. 21; cf. également JICRA 2003 n° 24 précitée).</w:t>
      </w:r>
    </w:p>
    <w:p>
      <w:r>
        <w:rPr>
          <w:b/>
        </w:rPr>
        <w:t>E. 4.3</w:t>
      </w:r>
    </w:p>
    <w:p>
      <w:r>
        <w:t>Dans le cas d'espèce, le recourant se trouve gravement touché dans sa santé psychique, en raison des tortures subies, et a entamé un traitement psychothérapeutique de longue durée, qui nécessite un cadre sécurisant. Or il est attesté que les structures médicales soudanaises, y compris à Khartoum, ne sont pas en mesure de traiter ce type d'affections dans des conditions de fiabilité et de coût acceptables ; tant les pénuries induites par les mesures d'embargo internationales que les préjugés populaires profondément enracinés, qui stigmatisent la maladie mentale, empêchent une prise en charge correcte de celle-ci, à moins d'y consacrer d'importants moyens financiers (cf. Mohamed Shawgi, Sudan's Great Depression : mental illness dangerously ignored by country's health services, avril 2015). L'intéressé aurait donc, en cas de retour à Khartoum, de sérieuses difficultés à poursuivre sa cure, ce qui, selon le rapport médical du 15 mars 2016, pourrait rendre ses troubles chroniques et en aggraver les effets. De plus, il lui serait alors difficile d'assurer sa survie quotidienne : bien qu'ayant accompli sa scolarité secondaire, il n'a jamais travaillé que dans l'agriculture, et ne pourrait guère, dans son état, trouver un emploi stable. De plus, le Tribunal ne tient pas pour invraisemblable, contrairement au SEM, que les proches du recourant, à la suite de l'attaque contre leur village, aient rejoint le Tchad ; dès lors, il est crédible que l'intéressé, appelé à se trouver dans une situation particulièrement vulnérable, ne puisse compter sur aucune aide provenant d'un réseau social ou familial.</w:t>
      </w:r>
    </w:p>
    <w:p>
      <w:r>
        <w:rPr>
          <w:b/>
        </w:rPr>
        <w:t>E. 4.4</w:t>
      </w:r>
    </w:p>
    <w:p>
      <w:r>
        <w:t>Dans ce contexte, l'exécution du renvoi doit donc être considérée comme inexigible en direction de Khartoum. Dès lors, en application de la jurisprudence rappelée plus haut, l'existence d'une alternative de refuge interne ne peut être retenue.</w:t>
      </w:r>
    </w:p>
    <w:p>
      <w:r>
        <w:rPr>
          <w:b/>
        </w:rPr>
        <w:t>E. 5</w:t>
      </w:r>
    </w:p>
    <w:p>
      <w:r>
        <w:t>En conclusion, l'intéressé remplit les conditions mises à l'octroi de l'asile. Dès lors, en l'absence de toute cause d'exclusion au sens des art. 53-54 LAsi, la décision du SEM doit être annulée et l'asile accordé au recourant.</w:t>
      </w:r>
    </w:p>
    <w:p>
      <w:r>
        <w:rPr>
          <w:b/>
        </w:rPr>
        <w:t>E. 6.1</w:t>
      </w:r>
    </w:p>
    <w:p>
      <w:r>
        <w:t>Vu l'issue de la procédure, il n'y a pas lieu de percevoir de frais (art. 63 al. 2 PA) ; la requête d'assistance judiciaire partielle est donc sans objet.</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6.3</w:t>
      </w:r>
    </w:p>
    <w:p>
      <w:r>
        <w:t>Dans le cas du recourant, qui a eu gain de cause, il y a lieu d'attribuer des dépens. Faute de note de frais, leur quotité sera déterminée sur la base du dossier (cf. art. 14 al. 2 du règlement du 21 février 2008 concernant les frais, dépens et indemnités fixés par le Tribunal administratif fédéral [FITAF, RS173.320.2]), au tarif horaire applicable aux mandataires non avocats (100 à 300 francs), selon l'art. 10 al. 2 FITAF. A raison d'un temps de travail estimé à 6 heures, le Tribunal fixe donc les dépens à 1200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