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E-3701/2010 vom 11. Juni 2010</w:t>
      </w:r>
    </w:p>
    <w:p>
      <w:r>
        <w:t>Bundesverwaltungsgericht, 2010-06-11, FR</w:t>
      </w:r>
    </w:p>
    <w:p>
      <w:r>
        <w:rPr>
          <w:b/>
        </w:rPr>
        <w:t xml:space="preserve">Quelle: </w:t>
      </w:r>
      <w:r>
        <w:t>https://mcp.opencaselaw.ch/entscheid/bvger_E-3701_2010</w:t>
      </w:r>
    </w:p>
    <w:p>
      <w:r>
        <w:t>FR: TAF E-3701/2010 du 11 juin 2010</w:t>
      </w:r>
    </w:p>
    <w:p>
      <w:r>
        <w:t>IT: TAF E-3701/2010 del 11 giugno 2010</w:t>
      </w:r>
    </w:p>
    <w:p>
      <w:pPr>
        <w:pStyle w:val="Heading2"/>
      </w:pPr>
      <w:r>
        <w:t>Regeste</w:t>
      </w:r>
    </w:p>
    <w:p>
      <w:r>
        <w:t>Asile (non-entrée en matière / procédure Dublin) et renvoi</w:t>
      </w:r>
    </w:p>
    <w:p>
      <w:pPr>
        <w:pStyle w:val="Heading2"/>
      </w:pPr>
      <w:r>
        <w:t>Erwägungen</w:t>
      </w:r>
    </w:p>
    <w:p>
      <w:r>
        <w:rPr>
          <w:b/>
        </w:rPr>
        <w:t>E. 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1.1</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w:t>
      </w:r>
    </w:p>
    <w:p>
      <w:r>
        <w:rPr>
          <w:b/>
        </w:rPr>
        <w:t>E. 3</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se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2008, p. 193 ss).</w:t>
      </w:r>
    </w:p>
    <w:p>
      <w:r>
        <w:rPr>
          <w:b/>
        </w:rPr>
        <w:t>E. 3.1</w:t>
      </w:r>
    </w:p>
    <w:p>
      <w:r>
        <w:t>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ou en Suisse (cf. art. 5 par. 2 du règlement Dublin).</w:t>
      </w:r>
    </w:p>
    <w:p>
      <w:r>
        <w:rPr>
          <w:b/>
        </w:rPr>
        <w:t>E. 4.1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des Etats membres, et à ce défaut, celui auprès duquel la demande d'asile a été présentée en premier. L'Etat membre responsable de l'examen d'une demande d'asile est tenu de reprendre en charge, dans les conditions prévues à l'article 20, la personne dont la demande d'asile n'a pas été admise et qui se trouve, sans en avoir reçu la permission, sur le territoire d'un autre Etat membre (cf. art. 16 par. 1 let. b, c, d et e du règlement).</w:t>
      </w:r>
    </w:p>
    <w:p>
      <w:r>
        <w:rPr>
          <w:b/>
        </w:rPr>
        <w:t>E. 4.2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w:t>
      </w:r>
    </w:p>
    <w:p>
      <w:r>
        <w:rPr>
          <w:b/>
        </w:rPr>
        <w:t>E. 5.1</w:t>
      </w:r>
    </w:p>
    <w:p>
      <w:r>
        <w:t>En l'espèce, si l'intéressé allègue ne pas avoir sollicité l'asile auprès des autorités italiennes, la consultation du fichier Eurodac, qui permet de déterminer si la personne dont les autorités suisses ont recueilli les empreintes digitales a déjà présenté une demande d'asile dans un autre Etat membre, révèle qu'il avait antérieurement déposé une demande d'asile en Italie. Dans les circonstances de l'espèce, l'intéressé ayant notamment admis s'être opposé à un renvoi au Nigéria lors de son interpellation par la police italienne à C._______ au début de l'année 2009, il entre donc dans le champ des dispositions de l'art. 13 du règlement Dublin. En l'absence de tout autre élément permettant de supposer qu'il a transité par un autre Etat membre, l'Italie doit dès lors être regardée comme responsable de l'examen de sa demande d'asile. Les autorités italiennes ne se sont d'ailleurs pas opposées à sa reprise en charge.</w:t>
      </w:r>
    </w:p>
    <w:p>
      <w:r>
        <w:rPr>
          <w:b/>
        </w:rPr>
        <w:t>E. 5.2</w:t>
      </w:r>
    </w:p>
    <w:p>
      <w:r>
        <w:t>Ce pays, membre de l'Union européenne, offre en outre des garanties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Il ne fait en outre aucun doute que les autorités italiennes ont mis en place un cadre législatif et administratif visant une prévention efficace et dissuadant de mettre en péril le droit à la vie ou à l'intégrité corporelle, notamment au moyen du droit pénal. C'est dès lors à juste titre que l'office fédéral a pu estimer que la décision contestée ne privait pas le recourant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(RS 0.142.30), ni des stipulations de l'art 3 de la convention du 4 novembre 1950 de sauvegarde des droits de l'homme et des libertés fondamentales (CEDH, RS 0.101), ni de toute autre obligation de droit international public.</w:t>
      </w:r>
    </w:p>
    <w:p>
      <w:r>
        <w:rPr>
          <w:b/>
        </w:rPr>
        <w:t>E. 5.3</w:t>
      </w:r>
    </w:p>
    <w:p>
      <w:r>
        <w:t>Au reste, les dispositions dérogatoires au règlement Dublin ne peuvent être interprétées comme des normes qui comprendraient un droit de séjour en Suisse lui-même induit par un droit général d'accès à des mesures médicales visant à recouvrer la santé ou à la maintenir, au simple motif que l'infrastructure hospitalière et le savoir-faire médical dans le pays d'origine ou de destination n'atteint pas le standard élevé suisse (cf. par analogie : JICRA 1993 n° 38 consid. 6 p. 274 s.). Le recourant ne saurait d'ailleurs utilement contester que les autorités italiennes appliquent, dans une large mesure, les mêmes standards que la Suisse en matière d'accès aux soins médicaux et que cet Etat dispose des infrastructures médicales suffisantes pour assurer les opérations et traitements médicaux qui lui seraient éventuellement nécessaires (cf. certificat médical du Dr. F._______, sous chiffre 5.2 : « Prise en charge possible en Italie. »). S'il est souhaitable que quiconque ait accès à une gamme complète de traitements médicaux, dont des techniques médicales de pointe et des médicaments de dernière génération pouvant sauver la vie, le Tribunal considère néanmoins, sur le vu des éléments figurant au dossier, que le recourant a eu accès avant son départ d'Italie au niveau de soins de santé dont bénéficie la population italienne dans son ensemble et qu'il pourra, à son retour, bénéficier des soins essentiels rendus nécessaires par ses troubles de la santé, même s'il ne retrouve pas immédiatement une activité lucrative. Certes, le Tribunal n'entend en rien minimiser les difficultés que le recourant pourraient rencontrer à son retour. Il juge néanmoins que, dans les circonstances de la présente affaire, on peut raisonnablement exiger de lui qu'il les surmonte. En tout état de cause, le règlement Dublin ne permet dès lors pas de tenir compte des dernières objections soulevées par le recourant, de sorte que le grief tiré de la différence de niveau de soins et d'accès aux prestations entre la Suisse et l'Italie s'avère également mal fondé. Le règlement Dublin entend en effet lutter contre la multiplication des demandes d'asile en Europe. Il s'agit donc, une fois les conditions d'application du règlement Dublin réunies et sauf circonstances exceptionnelles de laisser les questions relatives au droit d'asile, à une protection subsidiaire ou à l'accès aux soins à la compétence des seules juridictions du premier Etat membre auprès duquel la demande d'asile a été présentée. On ne saurait dès lors donner suite à sa requête d'instruction complémentaire, le Tribunal s'estimant suffisamment renseigné sur la base du dossier.</w:t>
      </w:r>
    </w:p>
    <w:p>
      <w:r>
        <w:rPr>
          <w:b/>
        </w:rPr>
        <w:t>E. 5.4</w:t>
      </w:r>
    </w:p>
    <w:p>
      <w:r>
        <w:t>L'exécution du renvoi doit enfin être considérée comme possible, dans la mesure où l'Italie ne s'est pas opposée à la reprise en charge du recourant.</w:t>
      </w:r>
    </w:p>
    <w:p>
      <w:r>
        <w:rPr>
          <w:b/>
        </w:rPr>
        <w:t>E. 5.5</w:t>
      </w:r>
    </w:p>
    <w:p>
      <w:r>
        <w:t>Il s'ensuit que c'est à bon droit que l'ODM a estimé que le recourant ne pouvait soutenir l'existence de raisons humanitaires suffisantes pour que la Suisse traite sa demande d'asile (cf. art. 29a al. 2 OA 1 et art. 3 par. 2 du règlement Dublin).</w:t>
      </w:r>
    </w:p>
    <w:p>
      <w:r>
        <w:rPr>
          <w:b/>
        </w:rPr>
        <w:t>E. 6</w:t>
      </w:r>
    </w:p>
    <w:p>
      <w:r>
        <w:t>Sur le vu de ce qui précède, le recours, en tant qu'il conteste la décision de non-entrée en matière sur la demande d'asile du recourant et son transfert en Italie, son renvoi du territoire et l'exécution de cette mesure doit être rejeté.</w:t>
      </w:r>
    </w:p>
    <w:p>
      <w:r>
        <w:rPr>
          <w:b/>
        </w:rPr>
        <w:t>E. 7</w:t>
      </w:r>
    </w:p>
    <w:p>
      <w:r>
        <w:t>Le présent arrêt rend sans objet la demande d'effet suspensif et de mesures provisionnelles déposée par le recourant.</w:t>
      </w:r>
    </w:p>
    <w:p>
      <w:r>
        <w:rPr>
          <w:b/>
        </w:rPr>
        <w:t>E. 8</w:t>
      </w:r>
    </w:p>
    <w:p>
      <w:r>
        <w:t>Au vu des circonstances particulières du cas d'espèce, il est renoncé à percevoir des frais de procédure. La demande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