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E-3698/2025 vom 23. April 2025</w:t>
      </w:r>
    </w:p>
    <w:p>
      <w:r>
        <w:t>Bundesverwaltungsgericht, 2025-04-23, FR</w:t>
      </w:r>
    </w:p>
    <w:p>
      <w:r>
        <w:rPr>
          <w:b/>
        </w:rPr>
        <w:t xml:space="preserve">Quelle: </w:t>
      </w:r>
      <w:r>
        <w:t>https://mcp.opencaselaw.ch/entscheid/bvger_E-3698_2025_d20250423</w:t>
      </w:r>
    </w:p>
    <w:p>
      <w:r>
        <w:t>FR: TAF E-3698/2025 du 23 avril 2025</w:t>
      </w:r>
    </w:p>
    <w:p>
      <w:r>
        <w:t>IT: TAF E-3698/2025 del 23 aprile 2025</w:t>
      </w:r>
    </w:p>
    <w:p>
      <w:pPr>
        <w:pStyle w:val="Heading2"/>
      </w:pPr>
      <w:r>
        <w:t>Regeste</w:t>
      </w:r>
    </w:p>
    <w:p>
      <w:r>
        <w:t>Asile et renvoi | Asile et renvoi; décision du SEM du 23 avril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 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w:t>
      </w:r>
    </w:p>
    <w:p>
      <w:r>
        <w:t>E-3698/2025 Page 7 des raisons objectivement reconnaissables pour un tiers (élément objectif), de craindre (élément subjectif) d'avoir à subir selon toute vraisemblance et dans un avenir prochain une persécution.</w:t>
      </w:r>
    </w:p>
    <w:p>
      <w:r>
        <w:rPr>
          <w:b/>
        </w:rPr>
        <w:t>E. 2.3</w:t>
      </w:r>
    </w:p>
    <w:p>
      <w:r>
        <w:t>Selon la jurisprudence du Tribunal, une persécution réfléchie est ad- 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 combe à celui qui se prévaut d'une persécution réfléchie d'expliquer les risques encourus du fait des agissements de ses proches et leur impact sur sa situation personnelle.</w:t>
      </w:r>
    </w:p>
    <w:p>
      <w:r>
        <w:rPr>
          <w:b/>
        </w:rPr>
        <w:t>E. 2.4</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rPr>
          <w:b/>
        </w:rPr>
        <w:t>E. 3</w:t>
      </w:r>
    </w:p>
    <w:p>
      <w:r>
        <w:t>avril 2025 étaient insuffisantes face aux multiples constats objectifs de falsifications constatées dans les documents produits. Dans ces conditions, le SEM a considéré que les craintes de persécution invoquées n’étaient pas objectivement fondées. S’agissant des activités du requérant (engagement dans le parti H._______, organisation de manifes- tations, participation à une association de défense des droits humains), l’autorité inférieure en a reconnu pour certaines la réalité. Elle a toutefois souligné qu’elles ne suffisaient pas à démontrer un risque actuel de persé- cution ; le requérant n’avait exercé aucune fonction politique de premier plan, n’avait pas rencontré de difficultés récentes dans son engagement associatif et n’avait pas été directement ciblé par les autorités entre 2018 et son départ. Les interrogatoires passés n’avaient débouché sur aucune autre mesure, ce qui affaiblissait l’hypothèse d’un intérêt marqué des auto- rités à son sujet. Le SEM a également écarté le risque de persécution réfléchie en lien avec l’environnement familial politisé du requérant. Il a relevé que les atteintes subies par ses proches remontaient à de nombreuses années et qu’aucune mesure récente ne l’avait visé sur cette base. Il a aussi noté que sa famille résidait toujours en Turquie sans difficultés apparentes. Par ailleurs, la des- cente de police à son domicile, rapportée par un tiers, ne suffisait pas à établir l’existence d’une menace personnelle imminente. En définitive, ses déclarations ne laissaient pas présager qu’il pouvait, dans un avenir peu éloigné et selon une haute probabilité, être atteint par des mesures pertinentes en regard de l’art. 3 LAsi.</w:t>
      </w:r>
    </w:p>
    <w:p>
      <w:r>
        <w:rPr>
          <w:b/>
        </w:rPr>
        <w:t>E. 3.1</w:t>
      </w:r>
    </w:p>
    <w:p>
      <w:r>
        <w:t>Dans sa décision, le SEM a rappelé qu’en vertu de la jurisprudence actuelle, une pièce judiciaire turque ne présentait une valeur probante suf- fisante qu’en présence d’allégations de fuite suffisamment fondées. Il a par ailleurs relevé que des documents officiels pouvaient être obtenus contre paiement en Turquie, ce qui affaiblissait leur fiabilité. Or, dans le présent cas, il a retenu que les moyens de preuve fournis étaient faux, que les motifs d’asile reposaient sur une construction fictive et que la procédure pénale alléguée ne pouvait être tenue pour crédible. Il a estimé avoir res- pecté le droit d’être entendu de l’intéressé en l’informant des irrégularités observées, tout en refusant de divulguer ses outils d’analyse, invoquant la nécessité de préserver l’intérêt public au sens de l’art. 27 PA. Il a estimé que les explications du requérant ressortant de sa prise de position du</w:t>
      </w:r>
    </w:p>
    <w:p>
      <w:r>
        <w:t>E-3698/2025 Page 8</w:t>
      </w:r>
    </w:p>
    <w:p>
      <w:r>
        <w:rPr>
          <w:b/>
        </w:rPr>
        <w:t>E. 3.2</w:t>
      </w:r>
    </w:p>
    <w:p>
      <w:r>
        <w:t>Dans son recours, l’intéressé conteste d’abord l’appréciation du SEM quant à la prétendue falsification des documents judiciaires turcs produits, soutenant que ces pièces, transmises par son avocat en Turquie, provien- nent directement de son dossier pénal. Il se plaint de ne pas pouvoir se défendre davantage sur ce point, le SEM ayant refusé de dévoiler les élé- ments concrets ayant conduit à sa conclusion, en invoquant l’intérêt public à maintenir ses méthodes d’analyse confidentielles. Selon lui, cette ma- nière de faire viole le principe d’égalité des armes et justifie que l’authenti- cité des documents soit appréciée à l’aune de l’ensemble du dossier et des motifs d’asile avancés. Il fait ensuite valoir que son parcours personnel et familial s’inscrit dans une histoire ancienne et profonde de répression. Issu d’une famille kurde engagée politiquement et lourdement ciblée depuis les années 1990,</w:t>
      </w:r>
    </w:p>
    <w:p>
      <w:r>
        <w:t>E-3698/2025 Page 9 l’intéressé affirme avoir été exposé dès son plus jeune âge à des violences étatiques : arrestations prolongées de ses parents, disparition de sa sœur, condamnation de son frère. Il expose avoir lui-même été victime de pas- sages à tabac dès l’adolescence (quatorze ans), notamment lors des fes- tivités du Newroz. Il s’est par la suite engagé activement au sein d’une association de soutien aux familles de détenus politiques, ce qui l’a amené à observer de nombreux cas de torture, d’arrestations arbitraires et de pressions, renforçant sa crainte actuelle de persécution. Enfin, le recourant replace sa situation individuelle dans un climat actuel de répression systématique à l’encontre des militants kurdes et défenseurs des droits humains en Turquie, abondamment documenté par des sources internationales fiables (référence étant faite à des articles de presse d’avril 2024 et février 2025, un FactSheet OSAR de juin 2024, une déclaration de l’Alliance progressiste de juillet 2024 et des rapports d’Amnesty Internatio- nal de mars 2025). Il estime que son engagement associatif, son profil fa- milial et les risques concrets qu’il court dans un Etat criminalisant l’opposi- tion justifient l’octroi de l’asile. À défaut, il invoque le risque de traitements inhumains ou dégradants au sens de l’art. 3 CEDH et demande, à titre sub- sidiaire, qu’il soit renoncé à son renvoi, pour des raisons humanitaires, au regard de son parcours de vie éprouvant.</w:t>
      </w:r>
    </w:p>
    <w:p>
      <w:r>
        <w:rPr>
          <w:b/>
        </w:rPr>
        <w:t>E. 4.1</w:t>
      </w:r>
    </w:p>
    <w:p>
      <w:r>
        <w:t>En l’espèce, c’est à bon droit que le SEM a retenu dans sa motivation, à laquelle il peut être ici renvoyé, que les motifs d’asile invoqués par l’inté- ressé n’étaient ni vraisemblables ni pertinents.</w:t>
      </w:r>
    </w:p>
    <w:p>
      <w:r>
        <w:rPr>
          <w:b/>
        </w:rPr>
        <w:t>E. 4.2</w:t>
      </w:r>
    </w:p>
    <w:p>
      <w:r>
        <w:t>En effet, si le recourant conteste la falsification des documents judi- ciaires qu’il a produits, il reconnaît implicitement ne pas être en mesure d’en démontrer l’authenticité, ni de fournir d’élément vérifiable quant à leur origine. Or ces pièces, dont la fiabilité a été invalidée de manière convain- cante par l’analyse technique du SEM, constituent les seuls fondements concrets de l’existence de la procédure pénale pour appartenance à une organisation terroriste armée prétendument ouverte à son encontre. Leur examen a révélé de nombreuses irrégularités, notamment une forme in- compatible avec celle des actes émanant des autorités judiciaires turques, des erreurs dans les indications relatives aux signataires, des numéros de référence non conformes et une référence numérique incorrecte. Le recou- rant n’apporte aucun élément susceptible d’expliquer ces points. Le grief relatif à une prétendue atteinte à l’égalité des armes tombe à faux. L’auto- rité inférieure a respecté les exigences de l’art. 27 PA. Le recourant a pu</w:t>
      </w:r>
    </w:p>
    <w:p>
      <w:r>
        <w:t>E-3698/2025 Page 10 exercer son droit d’être entendu ; le fait que le SEM n’ait pas révélé une partie de ses sources, dans le but légitime d’éviter de donner aux faus- saires l’occasion d’adapter leurs pratiques (« Lerneffekt »), ne l’en a pas empêché.</w:t>
      </w:r>
    </w:p>
    <w:p>
      <w:r>
        <w:rPr>
          <w:b/>
        </w:rPr>
        <w:t>E. 4.3</w:t>
      </w:r>
    </w:p>
    <w:p>
      <w:r>
        <w:t>Ensuite, bien que l’intéressé expose s’inscrire dans un environnement familial ayant subi des préjudices de la part de l’Etat dans les années 1990, et s’il a soutenu avoir été ponctuellement exposé à des pressions policières – notamment sous forme de passages à tabac et d’interrogatoires musclés lors de célébrations kurdes telles que Newroz –, les éléments avancés, à en admettre la véracité, ne permettent pas d’établir l’existence d’un risque personnel actuel au sens de l’art. 3 LAsi. Les activités associatives ou po- litiques invoquées ne révèlent pas un profil d’opposant actif et particulière- ment visible. Elles n’ont donné lieu à aucune mesure ciblée récente. Le recourant explique lui-même avoir mis un terme à son engagement avant la perquisition policière de son domicile en août 2023 (cf. audition sur les motifs d’asile, R 42 ; mémoire de recours, pt. 9). La situation de sa famille, qu’il dit résider encore en Turquie sans mention de difficultés actuelles, vient conforter la conclusion selon laquelle le recourant n’encourt pas, se- lon une haute probabilité, un risque individuel imminent en cas de retour.</w:t>
      </w:r>
    </w:p>
    <w:p>
      <w:r>
        <w:rPr>
          <w:b/>
        </w:rPr>
        <w:t>E. 4.4</w:t>
      </w:r>
    </w:p>
    <w:p>
      <w:r>
        <w:t>Enfin, les sources auxquelles l’intéressé se réfère au stade du recours documentent, de manière générale, un climat répressif envers les militants kurdes ou les défenseurs des droits humains. Si ce contexte peut susciter certaines préoccupations, il ne saurait en soi suffire à établir, dans le cas du recourant, l’existence d’un risque sérieux de persécution future.</w:t>
      </w:r>
    </w:p>
    <w:p>
      <w:r>
        <w:rPr>
          <w:b/>
        </w:rPr>
        <w:t>E. 4.5</w:t>
      </w:r>
    </w:p>
    <w:p>
      <w:r>
        <w:t>Il s'ensuit que le recours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E-3698/2025 Page 11</w:t>
      </w:r>
    </w:p>
    <w:p>
      <w:r>
        <w:rPr>
          <w:b/>
        </w:rPr>
        <w:t>E. 6.1</w:t>
      </w:r>
    </w:p>
    <w:p>
      <w:r>
        <w:t>L'exécution du renvoi est ordonnée si elle est licite, raisonnablement exigible et possible. Si l’une de ces conditions fait défaut, l'admission pro- visoire doit être prononcée. Celle-ci est réglée par l'art. 83 de la loi sur les étrangers et l’intégration (LEI ;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6.2.2</w:t>
      </w:r>
    </w:p>
    <w:p>
      <w:r>
        <w:t>Dans le présent cas, l'exécution du renvoi ne contrevient pas au prin- cipe de non-refoulement de l'art. 5 LAsi. Comme exposé précédemment, le recourant n'a pas rendu vraisemblable qu'en cas de retour dans son pays d'origine, il serait exposé à de sérieux préjudices au sens de l'art. 3 LAsi.</w:t>
      </w:r>
    </w:p>
    <w:p>
      <w:r>
        <w:rPr>
          <w:b/>
        </w:rPr>
        <w:t>E. 6.2.3</w:t>
      </w:r>
    </w:p>
    <w:p>
      <w:r>
        <w:t>En outre, également pour les raisons exposées, il n’a pas établi la haute probabilité d’un risque de traitements contraires aux engagements internationaux souscrits par la Suisse. Le Tribunal estime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 nance le met concrètement en danger, par exemple en cas de guerre, de guerre civile, de violence généralisée ou de nécessité médicale (art. 83 al. 4 LEI ; cf. ATAF 2014/26 consid. 7.3 à 7.10 ; 2011/50 consid. 8.1 à 8.3 et jurisp. cit.).</w:t>
      </w:r>
    </w:p>
    <w:p>
      <w:r>
        <w:rPr>
          <w:b/>
        </w:rPr>
        <w:t>E. 6.3.2</w:t>
      </w:r>
    </w:p>
    <w:p>
      <w:r>
        <w:t>En dépit de la résurgence, depuis le mois de juillet 2015, du conflit turco-kurde suite à la reprise d’affrontements directs entre les membres du Parti des travailleurs du Kurdistan (PKK) et les forces de sécurité étatique</w:t>
      </w:r>
    </w:p>
    <w:p>
      <w:r>
        <w:t>E-3698/2025 Page 12 dans plusieurs provinces du sud-est, la Turquie ne connaît pas de situation de guerre, de guerre civile ou de violence généralisée sur l'ensemble de son territoire qui permettrait d'emblée – et indépendamment des circons- 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w:t>
      </w:r>
    </w:p>
    <w:p>
      <w:r>
        <w:rPr>
          <w:b/>
        </w:rPr>
        <w:t>E. 6.3.3</w:t>
      </w:r>
    </w:p>
    <w:p>
      <w:r>
        <w:t>En l’espèce, aucun élément au dossier ne permet d’inférer que l’exé- cution du renvoi entraînerait pour le recourant un danger concret. Il est en effet originaire de la région de G._______, située dans la province de F._______, laquelle n’a pas été touchée par le séisme de février 2023. En- core jeune et en bonne santé, il dispose d’une expérience professionnelle variée. Il pourra également compter sur le soutien de sa famille restée en Turquie, notamment son épouse ainsi que ses frères et sœurs. Enfin, il a vécu de nombreuses années dans la région précitée, où il bénéficie proba- blement d’un ancrage social susceptible de faciliter sa réinsertion.</w:t>
      </w:r>
    </w:p>
    <w:p>
      <w:r>
        <w:rPr>
          <w:b/>
        </w:rPr>
        <w:t>E. 6.3.4</w:t>
      </w:r>
    </w:p>
    <w:p>
      <w:r>
        <w:t>Pour ces motifs, l'exécution du renvoi doit être considérée comme raisonnablement exigible.</w:t>
      </w:r>
    </w:p>
    <w:p>
      <w:r>
        <w:rPr>
          <w:b/>
        </w:rPr>
        <w:t>E. 6.4</w:t>
      </w:r>
    </w:p>
    <w:p>
      <w:r>
        <w:t>Enfin, le recourant est en mesure d'entreprendre toute démarche né- cessaire auprès de la représentation de son pays d'origine en vue de l'ob- tention de documents de voyage lui permettant de quitter la Suisse. L'exé- cution du renvoi ne se heurte ainsi pas à des obstacles insurmontables d'ordre technique et s'avère également possible (cf. ATAF 2008/34 con- sid. 12).</w:t>
      </w:r>
    </w:p>
    <w:p>
      <w:r>
        <w:rPr>
          <w:b/>
        </w:rPr>
        <w:t>E. 7</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 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t>E-3698/2025 Page 13</w:t>
      </w:r>
    </w:p>
    <w:p>
      <w:r>
        <w:rPr>
          <w:b/>
        </w:rPr>
        <w:t>E. 9</w:t>
      </w:r>
    </w:p>
    <w:p>
      <w:r>
        <w:t>Dans la mesure où les conclusions du recours étaient d'emblée vouées à l'échec, la requête d'assistance judiciaire totale doit être rejetée (art. 65 al. 1 PA et art. 102m al. 1 LAsi).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E-3698/2025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