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E-3695/2019 vom 20. März 2020</w:t>
      </w:r>
    </w:p>
    <w:p>
      <w:r>
        <w:t>Bundesverwaltungsgericht, 2020-03-20, FR</w:t>
      </w:r>
    </w:p>
    <w:p>
      <w:r>
        <w:rPr>
          <w:b/>
        </w:rPr>
        <w:t xml:space="preserve">Quelle: </w:t>
      </w:r>
      <w:r>
        <w:t>https://mcp.opencaselaw.ch/entscheid/bvger_E-3695_2019</w:t>
      </w:r>
    </w:p>
    <w:p>
      <w:r>
        <w:t>FR: TAF E-3695/2019 du 20 mars 2020</w:t>
      </w:r>
    </w:p>
    <w:p>
      <w:r>
        <w:t>IT: TAF E-3695/2019 del 20 marzo 2020</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 recourant a qualité pour recourir (cf. art. 48 al. 1 PA). Présenté dans la forme (cf. art. 52 al. 1 PA) et le délai (cf. ancien art. 108 al. 1 LAsi [RS 142.31],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loi sur les étrangers, conformément à l'art. 49 PA en lien avec l'art. 112 LEI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w:t>
      </w:r>
    </w:p>
    <w:p>
      <w:r>
        <w:t>A titre préliminaire, le grief tiré d'une violation de l'art. 8 CEDH (cf. Faits, let. H) doit être rejeté. En effet, la relation du recourant avec F._______ n'est manifestement pas protégée par cette disposition. Le mariage religieux qu'il a dit avoir célébré en Suisse n'a pas de portée juridique en l'absence d'un mariage civil et il n'y a aucun élément parlant en faveur d'un mariage sérieusement voulu et éminent. Il n'y a pas non plus lieu d'admettre un concubinage stable assimilable à un mariage, en l'absence d'une relation de longue durée et d'un enfant commun et compte tenu de la volonté d'une séparation exprimée par le recourant au premier semestre 2018 (cf. Faits, let. D.e.). En conséquence, c'est à juste titre que le SEM n'a pas joint la cause du recourant avec celle de F._______.</w:t>
      </w:r>
    </w:p>
    <w:p>
      <w:r>
        <w:rPr>
          <w:b/>
        </w:rPr>
        <w:t>E. 4.1</w:t>
      </w:r>
    </w:p>
    <w:p>
      <w:r>
        <w:t>Lors de l'audition sommaire, le recourant n'a pas invoqué de motifs à son départ d'Afghanistan autres que l'insécurité générale y prévalant et sa volonté de se marier en Suisse. Ses déclarations lors des auditions ultérieures sur les enlèvements et les mauvais traitements subis en Afghanistan, respectivement en octobre et en novembre 2015, sont tardives. Contrairement à son opinion, son silence à leur propos lors de l'audition sommaire n'est pas excusable. On ne voit pas en quoi le fait d'indiquer sincèrement ses motifs de protection à l'appui de sa demande d'asile aurait été de nature à influencer le SEM dans l'examen de l'Etat membre compétent pour examiner sa demande ; en outre, ses explications n'entrent pas non plus dans les raisons pouvant justifier, selon la jurisprudence, des allégués tardifs (cf. ATAF 2009/51 consid. 4.2.3). Dans ces conditions, les évènements invoqués lors de l'audition du 11 juin 2019 comme motif principal d'asile, n'ont pas été invoqués au moins dans les grandes lignes lors de l'audition sommaire. Il s'agit d'un indice important d'invraisemblance de ces évènements (cf. JICRA 1993 no 3).</w:t>
      </w:r>
    </w:p>
    <w:p>
      <w:r>
        <w:rPr>
          <w:b/>
        </w:rPr>
        <w:t>E. 4.2</w:t>
      </w:r>
    </w:p>
    <w:p>
      <w:r>
        <w:t>Les déclarations du recourant sur ses relations de travail avec l'agence D._______, en particulier sur sa mission à Herat en octobre 2015, laquelle aurait conduit à son enlèvement, puis à la cessation des rapports de travail ensuite de l'appel passé à la directrice pour l'informer qu'il ne retournerait pas à son poste de travail, ne sont pas crédibles. En effet, elles sont contraires au contenu des pièces produites (cf. Faits, let. F in fine), selon lequel la fin de ses rapports de travail avec cette agence remonte au (...) mai 2015, donc antérieurement à octobre 2015. Il ressort en outre de la « tazkira » établie le (...) 2015 qu'il était indépendant - self employee - à cette date. De même, l'attestation d'hospitalisation mentionne qu'en octobre 2015, il était employé d'un média, ce que l'agence en question n'était assurément pas.</w:t>
      </w:r>
    </w:p>
    <w:p>
      <w:r>
        <w:rPr>
          <w:b/>
        </w:rPr>
        <w:t>E. 4.3</w:t>
      </w:r>
    </w:p>
    <w:p>
      <w:r>
        <w:t>La vidéo tournée par le recourant avec son téléphone portable ne saurait prouver ses allégués sur son abandon un soir dans un terrain vague, à la suite de son second enlèvement et des mauvais traitements subis (en particulier [...]), dès lors qu'elle le représente en plein jour, sur un chemin jouxtant des terres agricoles et que (...) ne révèle pas la blessure qu'il dit s'être vu infliger durant sa séquestration. Le Tribunal ne peut exclure que cette vidéo ait été tournée en Europe en été 2016, au vu du paysage en arrière-plan et de sa publication intervenue, selon l'indication sur la vidéo produite en juillet 2019, « environ trois ans » auparavant.</w:t>
      </w:r>
    </w:p>
    <w:p>
      <w:r>
        <w:rPr>
          <w:b/>
        </w:rPr>
        <w:t>E. 4.4</w:t>
      </w:r>
    </w:p>
    <w:p>
      <w:r>
        <w:t>L'attestation d'hospitalisation n'a aucune valeur probatoire, dès lors que, selon la traduction produite, ce document a été signé par le recourant ou du moins délivré à sa demande. Qui plus est, elle aurait été ratifiée par des médecins d'un service hospitalier différent de celui figurant sur l'en-tête et de celui s'étant occupé de donner des soins d'urgence au recourant. En outre, son contenu, tel qu'il ressort de la traduction fournie, n'est pas conforme aux déclarations du recourant lors de ses auditions quant à la date et la durée de son hospitalisation consécutive à son second enlèvement.</w:t>
      </w:r>
    </w:p>
    <w:p>
      <w:r>
        <w:rPr>
          <w:b/>
        </w:rPr>
        <w:t>E. 4.5</w:t>
      </w:r>
    </w:p>
    <w:p>
      <w:r>
        <w:t>De surcroît, les déclarations du recourant sont divergentes sur les raisons de ses voyages au Pakistan et sur leur nombre, sur la période de l'engagement d'un nouveau chauffeur par l'agence D._______ (selon les versions, un an ou un an et demi après son propre engagement en mai 2014), sur le sort de son passeport le plus récent (resté en mains de passeurs en Turquie ou, selon une autre version, brûlé par ses soins en Grèce sur recommandation d'un passeur) et sur son lieu de séjour à Kaboul (séjour uniquement dans le quartier de C._______ ou, selon une seconde version, séjour temporaire dans le quartier de I._______).</w:t>
      </w:r>
    </w:p>
    <w:p>
      <w:r>
        <w:rPr>
          <w:b/>
        </w:rPr>
        <w:t>E. 4.6</w:t>
      </w:r>
    </w:p>
    <w:p>
      <w:r>
        <w:t>De même, dans son recours, il a indiqué que son premier enlèvement avait eu lieu « une fois de retour d'Herat », alors qu'il l'avait précédemment situé à Herat même ; il n'a pas expliqué ce revirement. A supposer qu'il s'agisse-là d'un lapsus, il n'en demeure pas moins qu'il n'est guère plausible que ses ravisseurs se soient déplacés jusqu'à Herat pour l'enlever alors qu'il habitait à Kaboul le reste de l'année et qu'ils lui ont demandé de devenir leur informateur sur place. Il n'a d'ailleurs guère été cohérent sur les circonstances de son interrogatoire par le chef de ses ravisseurs, prétendant tantôt que celui-ci l'avait giflé, tantôt qu'il s'était montré très doux et poli.</w:t>
      </w:r>
    </w:p>
    <w:p>
      <w:r>
        <w:rPr>
          <w:b/>
        </w:rPr>
        <w:t>E. 4.7</w:t>
      </w:r>
    </w:p>
    <w:p>
      <w:r>
        <w:t>Ses déclarations sur sa seconde séquestration sont stéréotypées et ne contiennent aucun détail significatif d'un vécu. Son comportement allégué n'est pas non plus cohérent. Alors qu'il se sentait observé et suivi et, qui plus est, venait d'avoir appris l'assassinat, la veille, du gardien de l'agence D._______, le fait qu'il ait pris le risque de se rendre de nuit et à pied chez son cousin n'est pas le comportement que l'on attend d'une personne qui se dit recherchée par des terroristes.</w:t>
      </w:r>
    </w:p>
    <w:p>
      <w:r>
        <w:rPr>
          <w:b/>
        </w:rPr>
        <w:t>E. 4.8</w:t>
      </w:r>
    </w:p>
    <w:p>
      <w:r>
        <w:t>Ni le lien entre le chauffeur engagé par l'agence - attaqué, battu et volé par le recourant et ses amis - et les ravisseurs pakistanais du recourant ni, surtout, les moyens que ces derniers se seraient donnés pour que le recourant puisse les contacter n'ont été expliqués par le recourant. Il s'agit d'un autre indice d'invraisemblance comme retenu à juste titre par le SEM.</w:t>
      </w:r>
    </w:p>
    <w:p>
      <w:r>
        <w:rPr>
          <w:b/>
        </w:rPr>
        <w:t>E. 4.9</w:t>
      </w:r>
    </w:p>
    <w:p>
      <w:r>
        <w:t>Les déclarations du recourant relatives à la persécution-réflexe contre sa mère, sa soeur (viol) et ses frères (menaces de mort) sont dénuées de substance ; elles ne sont ni circonstanciées ni cohérentes. En particulier, le recourant n'a pas su expliquer comment les membres de sa famille et lui-même avaient fait le lien entre ses ravisseurs et les violeurs de sa soeur, ni comment s'étaient concrétisées leurs menaces à l'endroit de ses proches. En outre, il n'a été en mesure de situer précisément dans le temps ni le viol ni le prétendu départ du pays de ses proches. Par recoupement de ses paroles, il apparaît que ce viol aurait eu lieu en 2018, peu de temps avant son propre départ pour l'Allemagne. Or, cette persécution n'avait alors plus de sens, puisqu'il avait quitté définitivement son pays depuis plus de deux ans, que les collaborateurs de l'agence l'avaient également quittée et, à en croire ses propres paroles, que les bureaux de celle-ci avaient été fermés ; ses déclarations manquent sur ce point de logique interne. Il n'est par ailleurs guère crédible qu'il ait appris ces représailles de son oncle maternel puisqu'il était en contact régulier avec « sa famille » (cf. audition sur les motifs d'asile, Q. 218, p. 25). La persécution-réflexe de ses proches et, comme conséquence, leur départ du pays ne sauraient ainsi être admis comme vraisemblables.</w:t>
      </w:r>
    </w:p>
    <w:p>
      <w:r>
        <w:rPr>
          <w:b/>
        </w:rPr>
        <w:t>E. 4.10</w:t>
      </w:r>
    </w:p>
    <w:p>
      <w:r>
        <w:t>Au vu de ce qui précède, c'est à bon droit que le SEM a estimé que les déclarations du recourant sur ses motifs d'asile ne satisfaisaient pas aux exigences de vraisemblance énoncées à l'art. 7 LAsi.</w:t>
      </w:r>
    </w:p>
    <w:p>
      <w:r>
        <w:rPr>
          <w:b/>
        </w:rPr>
        <w:t>E. 4.11</w:t>
      </w:r>
    </w:p>
    <w:p>
      <w:r>
        <w:t>Partant, le recours, en tant qu'il conteste le refus de reconnaissance de la qualité de réfugié et le rejet de la demande d'asile, doit être rejeté et la décision attaquée confirmée sur ces points.</w:t>
      </w:r>
    </w:p>
    <w:p>
      <w:r>
        <w:rPr>
          <w:b/>
        </w:rPr>
        <w:t>E. 5.1</w:t>
      </w:r>
    </w:p>
    <w:p>
      <w:r>
        <w:t>Lorsqu'il rejette la demande d'asile, le SEM prononce, en règle générale, le renvoi de Suisse et en ordonne l'exécution (cf. art. 44 in initio LAsi). Aucune exception selon l'art. 32 al. 1 de l'ordonnance 1 sur l'asile du 11 août 1999 (OA 1, RS 142.311) à la règle générale du renvoi, énoncée à l'art. 44 LAsi, n'étant en l'occurrence réalisée, le Tribunal est tenu, de par la loi, de confirmer cette mesure.</w:t>
      </w:r>
    </w:p>
    <w:p>
      <w:r>
        <w:rPr>
          <w:b/>
        </w:rPr>
        <w:t>E. 6.1</w:t>
      </w:r>
    </w:p>
    <w:p>
      <w:r>
        <w:t>Conformément à l'art. 83 al. 1 LEI (RS 142.20), auquel renvoie l'art. 44 in fine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6.2</w:t>
      </w:r>
    </w:p>
    <w:p>
      <w:r>
        <w:t>En l'espèce, l'exécution du renvoi ne contrevient pas au principe de non-refoulement de l'art. 5 LAsi. En effet, comme exposé plus haut, le recourant n'a pas rendu vraisemblable qu'en cas de retour en Afghanistan, il serait exposé à de sérieux préjudices au sens de l'art. 3 LAsi.</w:t>
      </w:r>
    </w:p>
    <w:p>
      <w:r>
        <w:rPr>
          <w:b/>
        </w:rPr>
        <w:t>E. 6.3</w:t>
      </w:r>
    </w:p>
    <w:p>
      <w:r>
        <w:t>Pour les mêmes raisons, il n'a pas non plus démontré à satisfaction de droit qu'il existait pour lui un risque réel, fondé sur des motifs sérieux et avérés, d'être victime de torture ou encore d'un traitement inhumain ou dégradant en cas de renvoi dans son pays (cf.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6.4</w:t>
      </w:r>
    </w:p>
    <w:p>
      <w:r>
        <w:t>Au vu de ce qui précède, l'exécution du renvoi du recourant sous forme de refoulement ne transgresse aucun engagement de la Suisse relevant du droit international, de sorte qu'elle s'avère licite (cf. art. 44 LAsi et art. 83 al. 3 LEI).</w:t>
      </w:r>
    </w:p>
    <w:p>
      <w:r>
        <w:rPr>
          <w:b/>
        </w:rPr>
        <w:t>E. 7.1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et 8.3 ; voir aussi ATAF 2014/26 consid. 7.3 à 7.10).</w:t>
      </w:r>
    </w:p>
    <w:p>
      <w:r>
        <w:rPr>
          <w:b/>
        </w:rPr>
        <w:t>E. 7.3</w:t>
      </w:r>
    </w:p>
    <w:p>
      <w:r>
        <w:t>Le Tribunal a dû se pencher à plusieurs reprises sur la situation en Afghanistan et a considéré dans trois arrêts de principe qu'à l'exception des grandes villes, la situation sécuritaire et humanitaire étaient si mauvaises qu'il convenait - et indépendamment des circonstances du cas d'espèce - de présumer, à propos de tous les ressortissants du pays, l'existence d'une mise en danger concrète au sens de l'art. 83 al. 4 LEI. S'agissant des personnes originaires de Kaboul, Mazar-i-Sharif et Herat, il a considéré que l'exécution d'un renvoi vers ces villes était raisonnablement exigible qu'en présence de circonstances particulièrement favorables (cf. ATAF 2011/7 ; ATAF 2011/38 ; ATAF 2011/49).</w:t>
      </w:r>
    </w:p>
    <w:p>
      <w:r>
        <w:rPr>
          <w:b/>
        </w:rPr>
        <w:t>E. 7.4</w:t>
      </w:r>
    </w:p>
    <w:p>
      <w:r>
        <w:t>Dans un arrêt de référence D-5800/2016 du 13 octobre 2017, le Tribunal a procédé à une analyse actualisée de la situation à Kaboul. Il a constaté que la situation y était précaire sur le plan sécuritaire et s'était notoirement détériorée sur le plan humanitaire depuis sa dernière analyse. Il a dès lors considéré que l'exécution d'un renvoi vers la ville de Kaboul n'était exceptionnellement possible qu'en présence de circonstances particulièrement favorables, à savoir en présence d'un homme célibataire, en bonne santé, bénéficiant d'un solide réseau social effectif, pouvant subvenir à ses besoins élémentaires et possédant un accès certain à un logement.</w:t>
      </w:r>
    </w:p>
    <w:p>
      <w:r>
        <w:rPr>
          <w:b/>
        </w:rPr>
        <w:t>E. 7.5</w:t>
      </w:r>
    </w:p>
    <w:p>
      <w:r>
        <w:t>En l'espèce, comme l'a relevé le SEM, des circonstances particulièrement favorables à la réinstallation du recourant dans la ville de Kaboul sont données. En effet, celui-ci est jeune, sans charge de famille, en bonne santé, apte à travailler et au bénéfice de plusieurs expériences professionnelles. De plus, il dispose d'un large réseau familial et social, sur lequel il est censé pouvoir compter à son retour pour subvenir, dans un premier temps, à ses besoins élémentaires. De plus, il pourra regagner le domicile familial, dès lors qu'il n'a pas rendu vraisemblable que sa famille (formée en particulier de sa mère, sa soeur et ses frères) avait fui l'Afghanistan.</w:t>
      </w:r>
    </w:p>
    <w:p>
      <w:r>
        <w:rPr>
          <w:b/>
        </w:rPr>
        <w:t>E. 7.6</w:t>
      </w:r>
    </w:p>
    <w:p>
      <w:r>
        <w:t>Au vu de ce qui précède, l'exécution du renvoi s'avère raisonnablement exigible (cf. art. 44 LAsi, art. 83 al. 4 LEI a contrario).</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9</w:t>
      </w:r>
    </w:p>
    <w:p>
      <w:r>
        <w:t>Il s'ensuit que le recours, en tant qu'il conteste la décision d'exécution du renvoi, doit être également rejeté et la décision attaquée confirmée sur ce point.</w:t>
      </w:r>
    </w:p>
    <w:p>
      <w:r>
        <w:rPr>
          <w:b/>
        </w:rPr>
        <w:t>E. 10</w:t>
      </w:r>
    </w:p>
    <w:p>
      <w:r>
        <w:t>Il est renoncé à un échange d'écritures (cf. art. 111a al. 1 LAsi).</w:t>
      </w:r>
    </w:p>
    <w:p>
      <w:r>
        <w:rPr>
          <w:b/>
        </w:rPr>
        <w:t>E. 11</w:t>
      </w:r>
    </w:p>
    <w:p>
      <w:r>
        <w:t>La demande d'assistance judiciaire totale doit être admise (cf. art. 65 al. 1 PA et ancien art. 110a al. 1 let. a LAsi). Partant, le recourant, qui a succombé dans ses conclusions, est dispensé du paiement des frais de procédure. En outre, Philippe Stern, juriste auprès de l'EPER/SAJE, est désigné en qualité de mandataire d'office. Vu l'issue du recours, une indemnité à titre d'honoraires et de débours lui sera versée (cf. art. 8 à 11 du règlement du 21 février 2008 concernant les frais, dépens et indemnités fixés par le Tribunal administratif fédéral [FITAF, RS 173.320.2], applicables par analogie conformément à l'art. 12 FITAF). Elle est fixée sur la base du décompte de prestations du 19 juillet 2019, du dossier pour les frais ultérieurs nécessaires (cf. art. 8 par. 2 et 14 FITAF) et d'un tarif horaire de 150 francs. Partant, le montant de l'indemnité est arrêté à 1'090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