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E-3694/2024 vom 20. Juni 2024</w:t>
      </w:r>
    </w:p>
    <w:p>
      <w:r>
        <w:t>Bundesverwaltungsgericht, 2024-06-20, DE</w:t>
      </w:r>
    </w:p>
    <w:p>
      <w:r>
        <w:rPr>
          <w:b/>
        </w:rPr>
        <w:t xml:space="preserve">Quelle: </w:t>
      </w:r>
      <w:r>
        <w:t>https://mcp.opencaselaw.ch/entscheid/bvger_E-3694_2024</w:t>
      </w:r>
    </w:p>
    <w:p>
      <w:r>
        <w:t>FR: TAF E-3694/2024 du 20 juin 2024</w:t>
      </w:r>
    </w:p>
    <w:p>
      <w:r>
        <w:t>IT: TAF E-3694/2024 del 20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w:t>
      </w:r>
    </w:p>
    <w:p>
      <w:r>
        <w:t>E-3694/2024 Seite 4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E-3694/2024 Seite 5 Tatsachen nicht entsprechen oder massgeblich auf gefälschte oder ver- fälschte Beweismittel abgestützt werden (Art. 7 AsylG).</w:t>
      </w:r>
    </w:p>
    <w:p>
      <w:r>
        <w:t>E-3694/2024 Seite 6</w:t>
      </w:r>
    </w:p>
    <w:p>
      <w:r>
        <w:rPr>
          <w:b/>
        </w:rPr>
        <w:t>E. 5.1</w:t>
      </w:r>
    </w:p>
    <w:p>
      <w:r>
        <w:t>Die Vorinstanz begründete ihren ablehnenden Asylentscheid im We- sentlichen mit der mangelnden asylrechtlichen Relevanz der Vorbringen des Beschwerdeführers. Die von ihm geschilderten Schikanen und Be- nachteiligungen würden in ihrer Intensität nicht über diejenigen Nachteile hinausgehen, die weite Teile der kurdischen Bevölkerung in der Türkei ebenfalls treffen könnten. Ausserdem sei es während seines Aufenthalts in C._______ zwischen 2018 und 2022 zwar zu Personenkontrollen, aber kei- nen anderen Vorfällen mit den Behörden oder Sicherheitskräften gekom- men. Die geltend gemachten Nachteile seien demnach nicht als ernsthaft im asylrechtlichen Sinn zu bezeichnen. Es sei zwar verständlich, dass er aufgrund der ehemaligen Mitgliedschaft seines Bruders bei der PKK, den politischen Tätigkeiten seiner Tante und seinen exilpolitischen Aktivitäten in subjektiver Hinsicht ernsthafte Nachteile befürchte. In objektiver Hinsicht seien den Akten aber keine konkreten Anhaltspunkte für zukünftige, ziel- gerichtete und beachtliche Verfolgungsmassnahmen zu entnehmen. In die- sem Zusammenhang sei insbesondere auf seinen einwandfreien Leumund und die Niederschwelligkeit seiner politischen Aktivitäten (sowohl in der Türkei als auch der Schweiz) zu verweisen. Soweit er ausserdem vor- bringe, bei seiner Rückkehr für den Militärdienst aufgeboten zu werden, ergebe sich daraus keine flüchtlingsrechtlich relevante Verfolgung, zumal allfälliges Aufgebot einzig der Durchsetzung staatsbürgerlicher Pflichten diene. Ausserdem bestehe die Möglichkeit, eine Form des Wehrpflicht- ersatzes zu leisten, sofern er den Militärdienst aus Gewissensgründen oder anderen Motiven nicht leisten wolle.</w:t>
      </w:r>
    </w:p>
    <w:p>
      <w:r>
        <w:rPr>
          <w:b/>
        </w:rPr>
        <w:t>E. 5.2</w:t>
      </w:r>
    </w:p>
    <w:p>
      <w:r>
        <w:t>In seinem Rechtsmittel führte der Beschwerdeführer im Wesentlichen aus, aufgrund seiner Ethnie, seiner politischen Anschauung und seiner fa- miliären Herkunft bereits ernsthaften Nachteilen ausgesetzt gewesen zu sein und solche im Fall einer Rückkehr erneut zu befürchten. Er sei ins- besondere einem unerträglichen psychischen Druck ausgesetzt gewesen. Zudem habe er einem militärischen Aufgebot keine Folge geleistet, weil er im Militärdienst ernsthafte Nachteile aufgrund seiner Ethnie zu befürchten habe. Insgesamt beständen aufgrund der jüngsten Verfolgung – nament- lich dem polizeilichen Interesse an ihm seit seiner Ausreise – konkrete An- haltspunkte dafür, dass er bei einer Rückkehr Opfer unmenschlicher Be- handlung werden würde. Seine Asylgründe habe er glaubhaft gemacht.</w:t>
      </w:r>
    </w:p>
    <w:p>
      <w:r>
        <w:t>E-3694/2024 Seite 7</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6.2</w:t>
      </w:r>
    </w:p>
    <w:p>
      <w:r>
        <w:t>Es ist in Übereinstimmung mit dem SEM festzustellen, dass es keine Anhaltspunkte dafür gibt, dass der Beschwerdeführer in der Vergangenheit asylrechtlich relevante Nachteile erlitten oder er solche künftig mit beacht- licher Wahrscheinlichkeit zu befürchten hätte. Auch unter Berücksichtigung der Aktivitäten seines verstorbenen Bruders bei der PKK und seiner Tante als Politikerin der HDP erreichen die vom Beschwerdeführer geschilderten Behelligungen keine Intensität im Sinn von Art. 3 Abs. 2 AsylG. An dieser Einschätzung vermag auch das angeblich neu entfachte Interesse der Sicherheitskräfte an seiner Person aufgrund seiner politischen Aktivitäten in der Schweiz nichts zu ändern. Die Demonstrationsteilnahmen sind als niederschwellig zu qualifizieren und für die angeblichen Nachforschungen der Polizei bei seiner Familie gibt es zudem keine Belege.</w:t>
      </w:r>
    </w:p>
    <w:p>
      <w:r>
        <w:rPr>
          <w:b/>
        </w:rPr>
        <w:t>E. 6.3</w:t>
      </w:r>
    </w:p>
    <w:p>
      <w:r>
        <w:t>Sodann hat das SEM zu Recht festgestellt, dass seinen Vorbringen im Zusammenhang mit dem Militärdienst ebenfalls keine asylrechtliche Rele- vanz zukommt. In diesem Zusammenhang ist – neben der bereits vom SEM erwähnten Möglichkeit des finanziellen Wehrpflichtersatzes – insbe- sondere darauf hinzuweisen, dass eine allfällige Bestrafung im Fall der Ver- weigerung der militärischen Dienstpflicht praxisgemäss grundsätzlich rechtsstaatlich legitim und somit flüchtlingsrechtlich nicht relevant wäre, zumal sich auch vorliegend keinerlei Hinweise auf ein flüchtlingsrechtlich relevantes Motiv beziehungsweise einen flüchtlingsrechtlich relevanten Politmalus ergeben (vgl. BVGE 2015/3 E. 5.7.1, Entscheidungen und Mit- teilungen der Schweizerischen Asylrekurskommission [EMARK] 2006 Nr. 3 E. 4.2 m.w.H.).</w:t>
      </w:r>
    </w:p>
    <w:p>
      <w:r>
        <w:rPr>
          <w:b/>
        </w:rPr>
        <w:t>E. 6.4</w:t>
      </w:r>
    </w:p>
    <w:p>
      <w:r>
        <w:t>Zusammenfassend ist daher festzuhalten, dass die Vorinstanz zu Recht die Flüchtlingseigenschaft des Beschwerdeführers verneint und sein Asylgesuch abgelehnt hat. Für die eventualiter beantragte – im Übrigen aber nicht näher begründete – Rückweisung besteht nach dem Gesagten keine Veranlassung.</w:t>
      </w:r>
    </w:p>
    <w:p>
      <w:r>
        <w:t>E-3694/2024 Seite 8</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E-3694/2024 Seite 9</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versuchten Militärputsch im Juli 2016 ist gemäss konstanter Praxis des Bundesverwaltungsgerichts nicht von einer Situation allgemei- ner Gewalt oder von bürgerkriegsähnlichen Verhältnissen in der Türkei – auch nicht für Angehörige der kurdischen Ethnie – auszugehen (vgl. in</w:t>
      </w:r>
    </w:p>
    <w:p>
      <w:r>
        <w:t>E-3694/2024 Seite 10 letzter Zeit beispielsweise Urteile des BVGer D-2850/2020 vom 23. Januar 2024 E. 7.3.1 oder E-150/2024 vom 19. Januar 2024 E. 8.3.1, je m.w.H.). Bei der Heimatprovinz des Beschwerdeführers, Van, handelt es sich so- dann nicht um eine Provinz, bei der nach bundesverwaltungsgerichtlicher Rechtsprechung von der generellen Unzumutbarkeit des Vollzugs von Wegweisungen auszugehen ist (vgl. BVGE 2013/2 E. 9.6 und das Refe- renzurteil E-1948/2018 vom 12. Juni 2018 E. 7.3.1). Diese Provinz war auch nicht unmittelbar von den verheerenden Erdbeben vom Februar 2023 betroffen.</w:t>
      </w:r>
    </w:p>
    <w:p>
      <w:r>
        <w:rPr>
          <w:b/>
        </w:rPr>
        <w:t>E. 8.3.2</w:t>
      </w:r>
    </w:p>
    <w:p>
      <w:r>
        <w:t>Der Vollzug der Wegweisung des jungen und gemäss Akten gesun- den Beschwerdeführers erweist sich auch in individueller Hinsicht als zu- mutbar. Der Beschwerdeführer hat den Erwägungen des SEM in seinem Rechtsmittel diesbezüglich nichts entgegengesetzt. Er hat in der Türkei ein familiäres Beziehungsnetz, das ihn bei seiner Rückkehr unterstützen kann. Ausserdem hat er vor zwei Jahren sein Studium abgeschlossen, verfügt über Arbeitserfahrung im Laden eines Bruders sowie in der (…) (vgl. SEM- act. A11 Ziff. 1.17.03 und 5.03 sowie act. A27 F3–F7 und F19 ff.).</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 ren Gewährung fehlt.</w:t>
      </w:r>
    </w:p>
    <w:p>
      <w:r>
        <w:t>E-3694/2024 Seite 11</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E-3694/2024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