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E-3681/2011 vom 26. März 2013</w:t>
      </w:r>
    </w:p>
    <w:p>
      <w:r>
        <w:t>Bundesverwaltungsgericht, 2013-03-26, DE</w:t>
      </w:r>
    </w:p>
    <w:p>
      <w:r>
        <w:rPr>
          <w:b/>
        </w:rPr>
        <w:t xml:space="preserve">Quelle: </w:t>
      </w:r>
      <w:r>
        <w:t>https://mcp.opencaselaw.ch/entscheid/bvger_E-3681_2011</w:t>
      </w:r>
    </w:p>
    <w:p>
      <w:r>
        <w:t>FR: TAF E-3681/2011 du 26 mars 2013</w:t>
      </w:r>
    </w:p>
    <w:p>
      <w:r>
        <w:t>IT: TAF E-3681/2011 del 26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zur Begründung seiner Verfügung fest, der vom Beschwerdeführer vorgebrachte (...)monatige Aufenthalt in einem Armeecamp könne nicht als flüchtlingsrechtlich relevanter Nachteil bewertet werden. Im Weiteren habe sich die allgemeine Situation in Sri Lanka massgeblich verändert, nachdem der Bürgerkrieg beendet worden sei und sich das ganze Land unter Regierungskontrolle befinde. Die Anzahl von Gewaltereignissen sei signifikant zurückgegangen. Die sri-lankischen Behörden würden zwar nach wie vor gegen ehemalige Kämpfer und Führungspersonen der LTTE vorgehen. Der Beschwerdeführer weise aber kein derartiges Profil auf, und es sei daher nicht davon auszugehen, dass die Behörden im heutigen Zeitpunkt ein Interesse an seiner Verfolgung hätten. Andernfalls wäre er nicht ohne die Ergreifung weiterer Massnahmen, beispielsweise die Einleitung eines Gerichtsverfahrens, aus dem Camp freigelassen wor­den, Der Beschwerdeführer habe demnach keine begründete Furcht vor Verfolgung wegen seiner früheren Unterstützung der LTTE. Der Tod seines Sohnes sei auf die damalige Kriegssituation zurückzuführen und stelle keine gezielte Verfolgung im Sinne von Art. 3 AsylG dar. Die eingereichten Beweismittel würden lediglich den geltend gemachten Sachverhalt stützen. Im Weiteren würden sich weder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Die allgemeine Sicherheitslage in Sri Lanka habe sich deutlich entspannt, so dass die Rückkehr in den Norden und den Osten des Landes grundsätzlich zumutbar sei. Allerdings sei der Wegweisungsvollzug ins Vanni-Gebiet, aus welchem der Beschwerdeführer stamme, aufgrund der sehr schwierigen dortigen Lebensbedingungen als unzumutbar zu erachten. Er verfüge jedoch über eine innerstaatliche Aufenthaltsalternative ausserhalb dieses Gebiets, würden sich doch nach seinen Angaben mehrere Angehörige in D._______ (Jaffna-Distrikt) aufhalten, wo er auch seine Schulzeit absolviert und bei Verwandten gelebt habe. Ferner verfüge der Beschwerdeführer über berufliche Erfahrung und könne mit der Unterstützung durch im Ausland lebende Verwandte rechnen.</w:t>
      </w:r>
    </w:p>
    <w:p>
      <w:r>
        <w:rPr>
          <w:b/>
        </w:rPr>
        <w:t>E. 4.2</w:t>
      </w:r>
    </w:p>
    <w:p>
      <w:r>
        <w:t>Der Beschwerdeführer wies in seiner Beschwerdeschrift zunächst da­rauf hin, dass es seinen im Heimatstaat verbliebenen Angehörigen (Ehefrau und Kinder) psychisch schlecht gehe. Die Tochter sei in psychologischer Behandlung. Er habe während seiner Festhaltung im (...)-Camp Verfolgung erlitten, und befürchte nach wie vor, von den Behörden verfolgt zu werden, weil diese Kenntnis von seinen Aktivitäten für die LTTE hätten und auch seine Herkunft aus einem traditionellen Rekrutierungsgebiet der Tigers den Verdacht auf ihn lenke. Diese Annahme werde dadurch erhärtet, dass seine Ehefrau weiterhin bedroht werde. Ein Verfolgungsinteresse dürfte auch deshalb noch bestehen, weil er am Bau von Bomben beteiligt gewesen sei. Zudem sei zu berücksichtigen, dass er nur durch eine Geldzahlung freigekommen sei. Schliesslich gehe aus der Rechtsprechung des Bundesverwaltungsgerichts hervor, dass nach dessen Einschätzung eine Verfolgung ehemaliger Aktivisten der LTTE nicht mit Sicherheit ausgeschlossen werden könne. Die Lage im Norden Sri Lankas, speziell im Vanni-Gebiet, sei nach wie vor sehr unruhig; es komme zu Racheakten, willkürlichen Festnahmen und Folterungen. Die Wegweisung dorthin sei demnach als unzulässig zu erachten. Die Einschätzung der Vorinstanz, die Rückkehr in den Norden und Osten Sri Lankas sei zumutbar, beruhe auf einer einseitigen und unvollständigen Lageeinschätzung, habe sich das Bundesamt doch auf zwei Quellen gestützt, die nicht mehr aktuell seien und entscheidende Aspekte nicht berücksichtigt. Neuere Berichte würden zeigen, dass sich die Situation für die tamilische Bevölkerung keineswegs verbessert habe, und auch das Bundesverwaltungsgericht sei in kürzlich ergangenen Urteilen zum Schluss gelangt, die Sicherheitslage und die politische Situation seien weiterhin unsicher. Die Notstandsgesetzgebung, die präventive Haft erlaube, sei immer noch in Kraft. Es komme regelmässig zu Tötungen im Polizeigewahrsam und es gebe keine fairen Gerichtsverfahren und unabhängigen Gerichte in Sri Lanka. Nach Sri Lanka zurückkehrende abgewiesene Asylsuchende würden am Flughafen Colombo eingehend befragt, und es sei damit zu rechnen, dass dabei allfällige Verbindungen zu den LTTE entdeckt würden. Insbesondere seien tamilische Rückkehrer, welche zur Zeit des Bürgerkriegs ausgereist seien, dem Risiko ausgesetzt, verhaftet zu werden. Die meisten der Unterstützung der LTTE verdächtigten Tamilen würden seit dem Ende des Bürgerkriegs in irregulären Lagern gefangen gehalten. Aber auch freigelassene und rehabilitierte ehemalige LTTE-Mitglieder würden von der sri-lanki­schen Armee fortdauernd drangsaliert. Die aktuelle Sicherheits- und Menschenrechtslage im Norden und Osten Sri Lankas habe sich trotz der Beendigung des Bürgerkriegs noch nicht derart verbessert, dass die Rückkehr dorthin als zumutbar qualifiziert werden könnte. Eine Aufenthaltsalternative in Colombo könne gemäss Rechtsprechung des Gerichts nur bei Vorliegen besonders begünstigender Umstände bejaht werden. Er (Beschwerdeführer) stamme aus dem Vanni-Gebiet, habe nie in Colombo gelebt und verfüge dort über kein Beziehungsnetz. Seine im Nor­den des Landes verbliebenen Familienangehörigen seien nicht in der Lage, ihn zu unterstützen. Es sei auch zu bezweifeln, dass er als ehemaliger Angestellter der LTTE, welcher auch durch diese ausgebildet worden sei, eine Arbeitsstelle finden würde. Seine persönliche Situation werde auch durch seine Herkunft aus dem Vanni-Gebiet erschwert. Demnach sei der Wegweisungsvollzug sowohl dorthin als auch in den Distrikt Jaffna unzumutbar, und es bestehe auch keine zumutbare inländische Aufenthaltsalternative in Colombo.</w:t>
      </w:r>
    </w:p>
    <w:p>
      <w:r>
        <w:rPr>
          <w:b/>
        </w:rPr>
        <w:t>E. 4.3</w:t>
      </w:r>
    </w:p>
    <w:p>
      <w:r>
        <w:t>In seiner Replik wies der Beschwerdeführer insbesondere darauf hin, dass seine Ehefrau und die Kinder unter prekären Bedingungen in F._______ leben würden. Sie hätten sich aus Sicherheitsgründen dort nicht registrieren lassen und seien mehrmals von bewaffneten Männern, welche sich nach ihm erkundigt hätten, drangsaliert worden.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sachlich und zeitlich kausal für die Ausreise aus dem Heimat- oder Herkunftsstaat und grundsätzlich auch im Zeitpunkt des Asylentscheides noch aktuell sein. Zudem muss feststehen, dass die von einer Verfolgung bedrohte Person über keine innerstaatliche Flucht- respektive Schutzalternative verfügt (vgl. BVGE 2011/51 E. 6 S. 1016 f., mit weiteren Hinweisen). 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mit Hinweisen auf Praxis und Lehre).</w:t>
      </w:r>
    </w:p>
    <w:p>
      <w:r>
        <w:rPr>
          <w:b/>
        </w:rPr>
        <w:t>E. 5.2</w:t>
      </w:r>
    </w:p>
    <w:p>
      <w:r>
        <w:t>Unbestritten ist, dass die allgemeine Men­schenrechtssituation in Sri Lanka nach dem Ende des Bürgerkriegs im Mai 2009 auch heute noch in verschiedener Hinsicht als problematisch zu bezeichnen ist. Während sich die Sicherheitslage seither weitgehend stabilisiert hat, ist eine weitere Verschlechterung der Menschenrechtslage, namentlich hinsichtlichder Meinungsäusserungs- und Pressefreiheit, eingetreten (vgl. BVGE 2011/24, welches Urteil eine detaillierte und aktualisierte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 Auch der Europäische Gerichtshof für Menschenrechte (EGMR) hat in mehreren Urteilen (vgl. NA. v. United Kingdom, Application no. 25904/07, Entscheid vom 17. Juli 2008; P.K. v. Denmark, Application no. 54705/08, Entscheid vom 20. Januar 2011; T.N. v. Denmark, Application no. 20594/08, Entscheid vom 20. Januar 2011; E.G. v. United Kingdom, Application no. 41178/08, Entscheid vom 31. Mai 2011) unterstrichen,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auch BVGE 2011/24 E. 10.4.2).</w:t>
      </w:r>
    </w:p>
    <w:p>
      <w:r>
        <w:rPr>
          <w:b/>
        </w:rPr>
        <w:t>E. 5.3</w:t>
      </w:r>
    </w:p>
    <w:p>
      <w:r>
        <w:t>Der Beschwerdeführer hat gemäss seiner Darstellung während mehrerer Jahre für die LTTE Dienstleistungen erbracht (Installationen [...] Anlagen) und war namentlich an der Herstellung von Claymore-Minen beteiligt. Zudem hat er ein militärisches Training bei den Tigers absolviert. Diese Aktivitäten sind den sri-lankischen Behörden bekanntgeworden, nachdem er durch einen ehemaligen Parteikollegen verraten und auch selber im Camp deswegen wiederholt verhört wurde. Unter Annahme der Glaubhaftigkeit dieser Vorbringen ist davon auszugehen, dass der Beschwerdeführer als Aktivist oder zumindest vermuteter Angehöriger der LTTE registriert worden ist. Zu berücksichtigen ist auch, dass er anlässlich der Befragungen durch die sri-lankische Armee physisch und psychisch misshandelt wurde und damit bereits vor der Ausreise erhebliche Verfolgungshandlungen erlitten hat. Die Freilassung aus dem Militärcamp erfolgte nach seiner Darstellung gegen Bezahlung einer Bestechungssumme, weshalb daraus - entgegen der Auffassung der Vorinstanz - nicht auf ein fehlendes Verfolgungsinteresse der Behörden geschlossen werden kann. Vielmehr lassen die Angaben des Beschwerdeführers, nachdem er das Camp verlassen habe, sei ein Onkel nach seinem Verbleib befragt worden und in der Folge seien auch seine Ehefrau und Kinder behelligt worden, darauf schliessen, dass er nach wie vor von staatlichen Organen gesucht wird. Im Weiteren dürfte die Rückkehr nach Sri Lanka nach längerer Landesabwesenheit und der Umstand, dass er über keine Identitätspapiere verfügt, zusätzliches Interesse der sri-lan­kischen Behörden an seiner Person bei der Einreise wecken, was für ihn aufgrund seiner Vorgeschichte nicht abzuschätzende negative Konsequenzen zur Folge haben könnte. Wie in der Rechtsmitteleingabe zu Recht ausgeführt, ergibt sich aus den Vorbringen des Beschwerdeführers demnach - auch angesichts der erheblichen Vorverfolgung - durchaus eine begründete Furcht, künftig ernsthaften Nachteilen im Sinne des Asylgesetzes ausgesetzt zu sein.</w:t>
      </w:r>
    </w:p>
    <w:p>
      <w:r>
        <w:rPr>
          <w:b/>
        </w:rPr>
        <w:t>E. 5.4</w:t>
      </w:r>
    </w:p>
    <w:p>
      <w:r>
        <w:t>Zusammenfassend kommt das Bundesverwaltungsgericht unter Berücksichtigung der gesamten Akten zum Schluss, dass der Beschwerdeführer gemäss seinen Vorbringen einer gefährdeten Personenkategorie im Sinn der oben genannten Kriterien zugerechnet werden muss. Seine Furcht, bei einer Rückkehr in sein Heimatland ernsthaften Nachteilen im Sinne von Art. 3 AsylG ausgesetzt zu sein, erweist sich demzufolge als begründet, sofern von der Glaubhaftigkeit seiner Ausführungen ausgegangen werden kann.</w:t>
      </w:r>
    </w:p>
    <w:p>
      <w:r>
        <w:rPr>
          <w:b/>
        </w:rPr>
        <w:t>E. 6.1</w:t>
      </w:r>
    </w:p>
    <w:p>
      <w:r>
        <w:t>Das BFM hat sich auf den Standpunkt gestellt, eine nähere Prüfung der Glaubhaftigkeit der Asylvorbringen des Beschwerdeführers erübrige sich, da diese als nicht asylrelevant zu erachten seien. Dieser Auffassung kann nicht gefolgt werden, nachdem wie oben dargelegt seine Ausführungen auf eine begründete Furcht vor Verfolgung schliessen lassen. Das Bundesamt wird demnach im Rahmen der Neubeurteilung die Aussagen des Beschwerdeführers einer eingehenden Glaubhaftigkeitsprüfung zu unterziehen haben.</w:t>
      </w:r>
    </w:p>
    <w:p>
      <w:r>
        <w:rPr>
          <w:b/>
        </w:rPr>
        <w:t>E. 6.2.1</w:t>
      </w:r>
    </w:p>
    <w:p>
      <w:r>
        <w:t>Wenn die Ausführungen des Beschwerdeführers zu seinen Aktivitäten für die LTTE und insbesondere seine Beteiligung an der Herstellung von Claymore-Minen als glaubhaft erachtet werden, stellt sich im Weiteren die Frage, ob es sich dabei um verwerfliche Handlungen im Sinne von Art. 53 AsylG handelt, welche die Annahme der Asylunwürdigkeit und damit den Ausschluss von der Asylgewährung rechtfertigen würden. Das BFM hat diese Frage in der angefochtenen Verfügung (umständehalber) nicht geprüft.</w:t>
      </w:r>
    </w:p>
    <w:p>
      <w:r>
        <w:rPr>
          <w:b/>
        </w:rPr>
        <w:t>E. 6.2.2</w:t>
      </w:r>
    </w:p>
    <w:p>
      <w:r>
        <w:t>Praxisgemäss vermag die alleinige Tatsache einer Mitgliedschaft bei einer als extremistisch aufzufassenden Organisation nicht zur Folgerung der Asylunwürdigkeit zu führen (vgl. Entscheidungen und Mitteilungen der Schweizerischen Asylrekurskommission [EMARK] 1998 Nr. 12 E. 5, EMARK 2002 Nr. 9 E. 7c).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(vgl. EMARK 2002 Nr. 9 a.a.O.). Die Praxis folgt sodann der in der Lehre vertretenen Auffassung, dass bei der Beurteilung der Asylunwürdigkeit auch der Grundsatz der Verhältnismässigkeit zu beachten ist (vgl. zum Ganzen EMARK 2002 Nr. 9 E. 7d S. 82 mit Hinweisen).</w:t>
      </w:r>
    </w:p>
    <w:p>
      <w:r>
        <w:rPr>
          <w:b/>
        </w:rPr>
        <w:t>E. 6.2.3</w:t>
      </w:r>
    </w:p>
    <w:p>
      <w:r>
        <w:t>Für eine Beurteilung des Engagements des Beschwerdeführers für die Tigers unter diesen Gesichtspunkten lassen sich den Akten aber keine hinreichend detaillierten Angaben hierzu entnahmen. Namentlich erweisen sich nähere Informationen dazu, in welcher Weise und in welchem Umfang er an der Herstellung der Claymore-Minen beteiligt war und ob und unter welchen Umständen diese eingesetzt wurden, sowie zu Art und Umfang seiner weiterer Tätigkeiten für die LTTE als erforderlich. Bei der der bestehenden Aktenlage ist eine abschliessende Beurteilung dieser Frage nicht möglich, weshalb diesbezüglich der Sachverhalt nicht hinreichend abgeklärt wurde.</w:t>
      </w:r>
    </w:p>
    <w:p>
      <w:r>
        <w:rPr>
          <w:b/>
        </w:rPr>
        <w:t>E. 6.2.4</w:t>
      </w:r>
    </w:p>
    <w:p>
      <w:r>
        <w:t>Unter dem Aspekt des Anspruchs auf rechtliches Gehör und insbesondere der Rechtsweggarantie kann es nicht Sache des Bundesverwaltungsgerichts sein, diese Sachverhaltsabklärungen vorzunehmen. Es wird somit Aufgabe des BFM sein, durch weitere Abklärungen und eine ergänzende Befragung des Beschwerdeführers, die genannten Fragen umfassend zu klären.</w:t>
      </w:r>
    </w:p>
    <w:p>
      <w:r>
        <w:rPr>
          <w:b/>
        </w:rPr>
        <w:t>E. 6.3</w:t>
      </w:r>
    </w:p>
    <w:p>
      <w:r>
        <w:t>Nach dem Gesagten ist die Sache zur eingehenden Prüfung der Glaubhaftigkeit der Vorbringen des Beschwerdeführers und zur vollständigen Sachverhaltsabklärung an die Vorinstanz zurückzuweisen.</w:t>
      </w:r>
    </w:p>
    <w:p>
      <w:r>
        <w:rPr>
          <w:b/>
        </w:rPr>
        <w:t>E. 7</w:t>
      </w:r>
    </w:p>
    <w:p>
      <w:r>
        <w:t>Die Beschwerde ist demnach gutzuheissen, soweit die Aufhebung der ange­fochtenen Verfügung beantragt wird. Die vorinstanzliche Verfügung vom 27. Mai 2011 ist aufzuheben und die Sache zur vollständigen und korrekten Feststellung des Sachverhaltes und zur Neubeurteilung an das BFM zurückzuweisen.</w:t>
      </w:r>
    </w:p>
    <w:p>
      <w:r>
        <w:rPr>
          <w:b/>
        </w:rPr>
        <w:t>E. 8</w:t>
      </w:r>
    </w:p>
    <w:p>
      <w:r>
        <w:t>Bei diesem Ausgang des Verfahrens sind keine Verfahrenskosten aufzuerlegen (Art. 63 Abs. 1 und 2 VwVG).</w:t>
      </w:r>
    </w:p>
    <w:p>
      <w:r>
        <w:rPr>
          <w:b/>
        </w:rPr>
        <w:t>E. 9</w:t>
      </w:r>
    </w:p>
    <w:p>
      <w:r>
        <w:t>Die Beschwerdeinstanz kann der ganz oder teilweise obsiegenden Partei von Amtes wegen oder auf Begehren hin eine Entschädigung für die ihr erwachsenen notwendigen und verhältnismässig hohen Kosten zusprechen kann (Art. 64 Abs. 1 VwVG; Art. 7 Abs. 1 und 2 des Reglements vom 21. Februar 2008 über die Kosten und Entschädigungen vor dem Bundesverwaltungsgericht [VGKE, SR 173.320.2]). Unter Berücksichtigung der Kostennote der Rechtsvertreterin des Beschwerdeführers vom 28. Juni 2011 sowie des für die nachträgliche Eingabe vom 5. Dezember 2011 zu veranschlagenden Aufwandes wird die Parteientschädigung auf insgesamt Fr. 1715.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