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E-3677/2010 vom 27. Mai 2011</w:t>
      </w:r>
    </w:p>
    <w:p>
      <w:r>
        <w:t>Bundesverwaltungsgericht, 2011-05-27, FR</w:t>
      </w:r>
    </w:p>
    <w:p>
      <w:r>
        <w:rPr>
          <w:b/>
        </w:rPr>
        <w:t xml:space="preserve">Quelle: </w:t>
      </w:r>
      <w:r>
        <w:t>https://mcp.opencaselaw.ch/entscheid/bvger_E-3677_2010</w:t>
      </w:r>
    </w:p>
    <w:p>
      <w:r>
        <w:t>FR: TAF E-3677/2010 du 27 mai 2011</w:t>
      </w:r>
    </w:p>
    <w:p>
      <w:r>
        <w:t>IT: TAF E-3677/2010 del 27 maggio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effet, les problèmes qu'il aurait rencontré avec les Géorgiens - indépendamment de leur intensité - ne peuvent qu'être antérieurs à 1992, l'Ossétie du Sud s'étant émancipée dès cette date de la tutelle géorgienne pour se placer, après un violent conflit, sous la tutelle russe.</w:t>
      </w:r>
    </w:p>
    <w:p>
      <w:r>
        <w:rPr>
          <w:b/>
        </w:rPr>
        <w:t>E. 3.2</w:t>
      </w:r>
    </w:p>
    <w:p>
      <w:r>
        <w:t>Par ailleurs, les conséquences d'une éventuelle reprise des hostilités en Ossétie du Sud ne peuvent constituer un risque de persécution, dans la mesure où le recourant ne serait pas menacé d'en pâtir à titre personnel ; en effet, dans une telle hypothèse, il se trouverait exposé au même titre que toute la population de la province. De plus, les possibles atteintes qui pourraient alors le toucher ne résulteraient d'aucun des motifs précisés à l'art. 3 LAsi. En outre, le fait que l'intéressé, qui a d'ailleurs transité par Zurich lors de son trajet vers l'Espagne, ait vécu plusieurs mois dans ce dernier pays sans y demander protection indique bien qu'il ne se sentait pas menacé de façon pressante.</w:t>
      </w:r>
    </w:p>
    <w:p>
      <w:r>
        <w:rPr>
          <w:b/>
        </w:rPr>
        <w:t>E. 3.3</w:t>
      </w:r>
    </w:p>
    <w:p>
      <w:r>
        <w:t>Enfin, le recourant n'a pas non plus prétendu qu'il pourrait être sanctionné de manière exorbitante pour avoir quitté les rangs de l'armée d'Ossétie du Sud, ni même qu'une quelconque sanction - l'enrôlement ayant été volontaire - lui serait applicable (cf. Jurisprudence et informations de la Commission suisse de recours en matière d'asile [JICRA] 2006 n° 3 p. 29ss).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Par ailleurs, si l'intéressé est originaire d'une province de la Géorgie - qui a unilatéralement déclaré son indépendance à l'été 2008 -, il détient un passeport russe et a donc cette nationalité ; c'est dès lors vers la Russie que son renvoi doit avoir lieu, comme justement retenu par l'ODM. Par ailleurs, rien ne l'oblige à retourner en Ossétie du Sud ; comme l'ODM l'a rappelé, l'obligation d'obtenir l'accord des autorités de police russes avant de prendre résidence en un lieu donné a maintenant disparu ; l'intéressé peut donc s'établir en tout point de la Russie, y compris à (...), où vivent sa femme et son enfant.</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 ne court aucun risque de ce type en cas de retour en Russie, lui-même ayant admis ne pas avoir de problèmes avec les autorités (cf. audition du 22 avril 2010, question 72) ou d'autres personnes.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Russie, hors de la région caucasienne,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au bénéfice d'une formation universitaire presque terminée et d'une pratique professionnelle (cf. audition du 22 avril 2010, questions 76-79),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d'un passeport russe valable lui permettant de regagner son pays.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