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E-3676/2021 vom 25. August 2021</w:t>
      </w:r>
    </w:p>
    <w:p>
      <w:r>
        <w:t>Bundesverwaltungsgericht, 2021-08-25, DE</w:t>
      </w:r>
    </w:p>
    <w:p>
      <w:r>
        <w:rPr>
          <w:b/>
        </w:rPr>
        <w:t xml:space="preserve">Quelle: </w:t>
      </w:r>
      <w:r>
        <w:t>https://mcp.opencaselaw.ch/entscheid/bvger_E-3676_2021</w:t>
      </w:r>
    </w:p>
    <w:p>
      <w:r>
        <w:t>FR: TAF E-3676/2021 du 25 août 2021</w:t>
      </w:r>
    </w:p>
    <w:p>
      <w:r>
        <w:t>IT: TAF E-3676/2021 del 25 agosto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Praxisgemäss ist das Beschwerdeverfahren um Datenbereinigung (ZEMIS) vom Asylverfahren beziehungsweise Dublin-Verfahren zu trennen, weshalb das Beschwerdeverfahren betreffend Nichteintreten auf das Asylgesuch und Wegweisung nach Rumänien unter der Verfahrensnummer E-3676/2021 weitergeführt und das Verfahren zur Datenbereinigung abgetrennt und neu unter der Verfahrensnummer E-3683/2021 geführt wird.</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5.1</w:t>
      </w:r>
    </w:p>
    <w:p>
      <w:r>
        <w:t>Die Vorinstanz führte zur Begründung ihrer Verfügung aus, der Beschwerdeführer habe vage und ungereimte Angaben zu seinem Alter und seiner Biographie gemacht. Zudem lasse sein Erscheinungsbild Zweifel an der geltend gemachten Minderjährigkeit aufkommen. Die forensische Altersabklärung ziehe das vom Beschwerdeführer angegebene Alter ebenfalls in Zweifel. Somit sei es dem Beschwerdeführer nicht gelungen, die von ihm behauptete Minderjährigkeit glaubhaft zu machen. Die weiteren Argumente, die er gegen eine Rückkehr nach Rumänien vorgebracht habe, vermöchten die Zuständigkeit dieses Landes für sein Asylverfahren nicht zu widerlegen. Es gebe keine wesentlichen Gründe für die Annahme, dass das Asylverfahren und die Aufnahmebedingungen für Asylsuchende in Rumänien Schwachstellen aufweisen würden, die eine der EU-Grundrechtecharte oder der EMRK widersprechende Behandlung mit sich bringen würden. Es lägen auch keine Gründe nach Art. 16 Abs. 1 Dublin-III-VO vor, die die Schweiz zur Prüfung seines Asylgesuchs verpflichten würde. Die Bedingungen für Asylsuchende in Rumänien vermöchten zudem eine Anwendung der Souveränitätsklausel im Sinne von Art. 29a Abs. 3 der Asylverordnung 1 vom 11. August 1999 (AsylV 1, SR 142.311) und Art. 17 Abs. 1 Dublin-III-VO nicht zu begründen. Für seine geltend gemachten gesundheitlichen Probleme werde davon ausgegangen, dass im Rahmen des Dublin-Systems der zuständige Dublin-Staat angemessene medizinische Behandlung gewähren werde. Somit lägen keine Umstände vor, die die Schweiz veranlassen müssten, die Souveränitätsklausel anzuwenden.</w:t>
      </w:r>
    </w:p>
    <w:p>
      <w:r>
        <w:rPr>
          <w:b/>
        </w:rPr>
        <w:t>E. 5.2</w:t>
      </w:r>
    </w:p>
    <w:p>
      <w:r>
        <w:t>Der Beschwerdeführer stellte in seiner Beschwerdeeingabe zunächst fest, die beiden erstellten Altersgutachten seien keine Indizien für seine Minder- respektive Volljährigkeit, dennoch lege das revidierte Altersgutachten vom 31. März 2021 nahe, dass er sein 17. Lebensjahr vollendet habe und gebe ein Mindestalter von 16,1 Jahren (Untersuchung der Hand), von 16,4 Jahren (Untersuchung der Schlüsselbeine) sowie von 17 bis 17,4 Jahren (zahnärztliche Untersuchung) an. Diese Angaben würden seinem angegebenen Alter nicht widersprechen, da nach konstanter Rechtsprechung eine Abweichung zwischen dem Knochenalter und dem tatsächlichen Alter von 2,5 bis 3 Jahren noch als innerhalb des Normalbereichs betrachtet werden könne. Dass er sein Alter nur ungefähr benennen könne, sei angesichts des kulturellen Hintergrunds nicht aussergewöhnlich, sondern im Länderkontext nachvollziehbar. Weshalb er in Rumänien mit dem Geburtsdatum (...) erfasst worden sei, wisse er nicht mehr. Schliesslich sei für die Vorinstanz sein Aussehen als Indiz für seine Volljährigkeit angesehen worden. Dies sei nicht stichhaltig, da diese Feststellung lediglich einer subjektiven Beurteilung entspreche und er im Übrigen ein sehr kleiner, feingliedriger Jugendlicher sei, der auch von der Gestik her nicht als typisch erwachsen erscheine. Seine eingereichte Tazkira bestätige, dass er zwischen dem 21. März 2013 und dem 20. März 2014 zehn Jahre alt gewesen sei. Die Vorinstanz habe im Weiteren bei der zweiten Anfrage an die rumänischen Behörden vom 3. Dezember 2020 nicht das Standardformblatt im Sinne von Art. 23 Abs. 4 Dublin-III-VO verwendet. Dies wäre aber aufgrund von Beweiszwecken unabdingbar gewesen. Zudem habe es das SEM in seiner zweiten Anfrage vom 3. Dezember 2020 unterlassen, die rumänischen Behörden mindestens auf die gesamte zusammenfassende Beurteilung des medizinischen Altersgutsachtens unter Punkt 6.5 und darauf, dass das medizinische Altersgutachten abschliessend bestätige, dass «das vom Betroffenen angegebene Geburtsdatum (chronologisches Lebensalter von 18 Jahren und 10 Monaten)» zutreffen könne, auf Englisch hinzuweisen. Ebenfalls fehle der englischsprachige Hinweis hinsichtlich der Tatsache, dass das Gutachten somit abschliessend eine Altersangabe bestätige, welche der Beschwerdeführer zu keinem Zeitpunkt gemacht habe. Daraus würden ein Fristenproblem und das Problem der doppelten Lesung (siehe Bst. F «Paradoxon») folgen. Im Weiteren gebe es verschiedene Berichte nationaler und internationaler Organisationen, wonach Asylsuchenden in Rumänien systematisch grobe Gewalt durch die Behörden zugefügt werde. Es bestehe für ihn im Falle seiner Überstellung nach Rumänien ein "real risk" einer unmenschlichen Behandlung, welche Art. 3 EMRK verletzen würde. Hinsichtlich einer Prüfung der Voraussetzungen von Art. 3 Abs. 2 Dublin-III-VO habe die Vorinstanz sich nicht einmal ansatzweise mit der aktuellen Situation von Asylsuchenden in Rumänien und den von ihm geschilderten eigenen Erlebnissen in diesem Land auseinandergesetzt. Im Weiteren habe er sein Aufenthaltsrecht verwirkt, da er länger als 72 Stunden in den Aufnahmezentren abwesend gewesen sei. Ihm drohe folglich die Kettenabschiebung nach Afghanistan, welche Art. 3 EMRK verletzen würde.</w:t>
      </w:r>
    </w:p>
    <w:p>
      <w:r>
        <w:rPr>
          <w:b/>
        </w:rPr>
        <w:t>E. 6.1</w:t>
      </w:r>
    </w:p>
    <w:p>
      <w:r>
        <w:t>Der Beschwerdeführer hat in Rumänien ein Asylgesuch eingereicht. Wenn der Beschwerdeführer dies bestreitet oder behauptet, er habe nicht verstanden, dass er ebenda ein Asylgesuch gestellt habe, ist dies nicht zu hören, zumal aus den Einträgen in der «Eurodac»-Datenbank hervorgeht, dass er am (...) in Rumänien um Asyl nachgesucht hat und die rumänischen Behörden dies im Remonstrationsverfahren auch so bestätigt haben. Wie die nachfolgenden Erwägungen zeigen, sind seine Vorbringen auch nicht geeignet, an der Zuständigkeit dieses Staats etwas zu ändern.</w:t>
      </w:r>
    </w:p>
    <w:p>
      <w:r>
        <w:rPr>
          <w:b/>
        </w:rPr>
        <w:t>E. 6.2</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6.2.1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6.2.2</w:t>
      </w:r>
    </w:p>
    <w:p>
      <w:r>
        <w:t>Vorab ist festzuhalten, dass dem vom Beschwerdeführer zum Beleg seines Alters eingereichten Identitätsdokument (Tazkira) praxisgemäss nur ein geringer Beweiswert beigemessen werden kann. Dieser wird vorliegend weiter dadurch geschmälert, dass sie nur in Kopie respektive in Form einer Fotografie vorliegt, die Aussagen des Beschwerdeführers zum Verbleib der Tazkira in der Erstbefragung wenig plausibel erscheinen und er keine Angaben dazu machte, wie er in den Besitz des Dokuments gelangte.</w:t>
      </w:r>
    </w:p>
    <w:p>
      <w:r>
        <w:rPr>
          <w:b/>
        </w:rPr>
        <w:t>E. 6.2.3</w:t>
      </w:r>
    </w:p>
    <w:p>
      <w:r>
        <w:t>Gemäss dem aktualisierten rechtsmedizinischen Gutachten vom 31. März 2021 liegt das Mindestalter des Beschwerdeführers sowohl bei der Skelettaltersanalyse als auch bei der zahnärztlichen Untersuchung unter 18 Jahren; praxisgemäss lässt sich deshalb anhand dieses Gutachtens keine Aussage zu seiner Minder- respektive Volljährigkeit machen (vgl. BVGE 2018 VI/3 E. 4.2.2). Immerhin lässt sich dem Gutachten aber entnehmen, dass der Beschwerdeführer im Zeitpunkt der Untersuchung das 17. Altersjahr "sicher vollendet" habe. Das Gutachten geht zudem wiederum von einem durchschnittlichen Lebensalter des Beschwerdeführers von 18 bis 22 Jahren aus (vgl. SEM-act. 55). Mit dieser Feststellung ist die Aussage des Beschwerdeführers anlässlich der Erstbefragung vom 5. November 2020, sechzehn Jahre alt zu sein, zwar nicht gänzlich unvereinbar. Ungereimtheiten ergeben sich aber aus den Akten betreffend das vom Beschwerdeführer gegenüber den rumänischen Behörden angegebene Alter: Einerseits gab er in der Erstbefragung zu Protokoll, gegenüber den rumänischen Behörden kein Alter angegeben zu haben und lediglich mit dem Namen registriert worden zu sein (vgl. SEM-act. 12 Ziff. 2.06). Im Gegensatz hierzu ist im abgelehnten Übernahmeentscheid der rumänischen Behörden vom 23. November 2020 vermerkt, der Beschwerdeführer habe angegeben, dass sein Name A._______ sei und er am (...) in B._______, Afghanistan, geboren worden sei. Andererseits sind die Aussagen des Beschwerdeführers vor der Vorinstanz zu seinem Alter auffallend vage und wenig plausibel ausgefallen. Im Weiteren wird auf die zutreffenden Ausführungen in der Verfügung der Vorinstanz verwiesen, wonach insbesondere nicht nachvollziehbar ist, weshalb der Beschwerdeführer zunächst, in Übereinstimmung mit der eingereichten Tazkira, geltend machte, er sei am (...) geboren, dann aber auf Vorhalt ausführte, dass das Geburtsdatum falsch sei, da es sich dabei um einen Berechnungsfehler seines Dolmetschers gehandelt habe. Die beiden angegebenen Alter weichen deutlich voneinander ab und das Vorbringen, er sei Analphabet, kann als Erklärungsversuch nicht herangezogen werden, da er einerseits ein exaktes Geburtsdatum nannte und andererseits auch rechnerisch begründen konnte, dass er in zwei Monaten 17 Jahre alt wird.</w:t>
      </w:r>
    </w:p>
    <w:p>
      <w:r>
        <w:rPr>
          <w:b/>
        </w:rPr>
        <w:t>E. 6.2.4</w:t>
      </w:r>
    </w:p>
    <w:p>
      <w:r>
        <w:t>Dem Vorhalt, die Anfrage an Rumänien sei fehlerhaft, kann ebenfalls nicht gefolgt werden. Zutreffend ist zwar, dass die Vorinstanz die rumänischen Behörden im Remonstrationsgesuch vom 3. Dezember 2020 nicht in englischer Sprache auf das in der zusammenfassenden Beurteilung festgehaltene Mindestalter von 17 Jahren hingewiesen hat. Diese Information wurde aber den rumänischen Behörden dennoch in überprüfbarer Weise zur Verfügung gestellt. Dem Remonstrationsgesuch war das erste medizinische Gutachten beigelegt, sodass die rumänischen Behörden davon ohne Weiteres Kenntnis nehmen und dieses eingehend überprüfen konnten. Im Weiteren ist auch nicht erkennbar, weshalb das aktualisierte Gutachten den rumänischen Behörden hätte übermittelt werden sollen, da auch durch dieses die behauptete Minderjährigkeit des Beschwerdeführers - und nur darum geht es vorliegend - nicht glaubhaft gemacht wird. Somit hält das Gesuch der Vorinstanz an die rumänischen Behörden den Anforderungen an Art. 23 Abs. 4 Dublin-III-VO i.V.m. Art. 2 Bst. a der Verordnung (EG) Nr. 1560/2003 der Kommission vom 2. September 2003 mit Durchführungsbestimmungen zur Verordnung (EG) Nr. 343/2003 des Rates (DVO Dublin) auch vor dem Hintergrund stand, dass dem Altersgutachten gestützt auf BVGE 2018 VI/3 allenfalls ein nur eingeschränkter Beweiswert zukommt. Die darauf gestützten weiteren Rügen erübrigen sich somit. Eine Rückweisung der Sache an die Vorinstanz ist somit unter diesem Aspekt nicht angezeigt.</w:t>
      </w:r>
    </w:p>
    <w:p>
      <w:r>
        <w:rPr>
          <w:b/>
        </w:rPr>
        <w:t>E. 6.2.5</w:t>
      </w:r>
    </w:p>
    <w:p>
      <w:r>
        <w:t>Nach dem Gesagten lassen weder die sich in den Akten befindenden Beweismittel noch die widersprüchlichen und unsubstanziierten Aussagen des Beschwerdeführers stichhaltige Rückschlüsse auf sein wahres Alter und insbesondere auf die Frage seiner Minder- oder Volljährigkeit im Zeitpunkt der Einreichung seines Asylgesuchs in der Schweiz zu. Demnach gelangt das Gericht in Übereinstimmung mit der Vorinstanz im Rahmen einer Gesamtwürdigung aller Umstände (vgl. BVGE 2018 VI/3 E. 4.2.2 i.f.; EMARK 2004 Nr. 30 E. 5.3.4 S. 210) zum Schluss, dass es dem Beschwerdeführer nicht gelungen ist, die von ihm geltend gemachte Minderjährigkeit zum Zeitpunkt seiner Gesuchseinreichung in der Schweiz glaubhaft zu machen.</w:t>
      </w:r>
    </w:p>
    <w:p>
      <w:r>
        <w:rPr>
          <w:b/>
        </w:rPr>
        <w:t>E. 6.3.1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6.3.2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Das Gericht geht - wie bereits die Vorinstanz - davon aus,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6.4.1</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Der Beschwerdeführer hat kein konkretes und ernsthaftes Risiko dargetan, die rumänischen Behörden würden sich weigern, ihn (wieder) aufzunehmen und seinen Antrag auf internationalen Schutz unter Einhaltung der Regeln der Verfahrensrichtlinie zu prüfen. Den Akten sind keine stichhaltigen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Das Bundesverwaltungsgericht geht in konstanter Praxis davon aus, das rumänische Asylsystem weise keine systemischen Mängel auf (vgl. in letzter Zeit etwa die Urteile BVGer E-2591/2021 vom 3. August 2021 E. 7.4.2, F-3370/2021 vom 29. Juli 2021 E. 7.1, D-2325/2021 vom 12. Juli 2021 E. 7.2, F-2677/2021 vom 14. Juni 2021 E. 5.2, F-2570/2021 vom 7. Juni 2021 E. 7.1 oder E-2412/2021 vom 31. Mai 2021 E. 6.2.2 f.). Im Weiteren hat er auch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w:t>
      </w:r>
    </w:p>
    <w:p>
      <w:r>
        <w:rPr>
          <w:b/>
        </w:rPr>
        <w:t>E. 6.4.2</w:t>
      </w:r>
    </w:p>
    <w:p>
      <w:r>
        <w:t>Soweit der Beschwerdeführer das Vorliegen von "humanitären Gründen" geltend macht, ist festzuhalten, dass gemäss Praxis des Bundesverwaltungsgerichts das SEM bei der Anwendung der Kann-Bestimmung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6.4.3</w:t>
      </w:r>
    </w:p>
    <w:p>
      <w:r>
        <w:t>Nach dem Gesagten bestand und besteht kein Grund für eine Anwendung der Ermessensklauseln von Art. 17 Dublin-III-VO. Der Vollständigkeitshalber ist festzuhalten, dass die Dublin-III-VO den Schutzsuchenden kein Recht einräumt, den ihren Antrag prüfenden Staat selber auszuwählen (vgl. auch BVGE 2010/45 E. 8.3).</w:t>
      </w:r>
    </w:p>
    <w:p>
      <w:r>
        <w:rPr>
          <w:b/>
        </w:rPr>
        <w:t>E. 6.5</w:t>
      </w:r>
    </w:p>
    <w:p>
      <w:r>
        <w:t>Somit bleibt Rumänien der für die Behandlung der Asylgesuche des Beschwerdeführers zuständige Mitgliedstaat gemäss Dublin-III-VO. Rumänien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und der am 19. August 2021 angeordnete Vollzugsstopp dahinfällt.</w:t>
      </w:r>
    </w:p>
    <w:p>
      <w:r>
        <w:rPr>
          <w:b/>
        </w:rPr>
        <w:t>E. 9</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