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E-3674/2012 vom 17. August 2012</w:t>
      </w:r>
    </w:p>
    <w:p>
      <w:r>
        <w:t>Bundesverwaltungsgericht, 2012-08-17, DE</w:t>
      </w:r>
    </w:p>
    <w:p>
      <w:r>
        <w:rPr>
          <w:b/>
        </w:rPr>
        <w:t xml:space="preserve">Quelle: </w:t>
      </w:r>
      <w:r>
        <w:t>https://mcp.opencaselaw.ch/entscheid/bvger_E-3674_2012</w:t>
      </w:r>
    </w:p>
    <w:p>
      <w:r>
        <w:t>FR: TAF E-3674/2012 du 17 août 2012</w:t>
      </w:r>
    </w:p>
    <w:p>
      <w:r>
        <w:t>IT: TAF E-3674/2012 del 17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Dabei ist nicht relevant, dass der Vorinstanz mit Einholung einer Vernehmlassung Gelegenheit gegeben worden ist, ihre hinsichtlich der Anordnung des Wegweisungsvollzugs offensichtlich unzutreffende Verfügung wiedererwägungsweise zu korrigieren.</w:t>
      </w:r>
    </w:p>
    <w:p>
      <w:r>
        <w:rPr>
          <w:b/>
        </w:rPr>
        <w:t>E. 4</w:t>
      </w:r>
    </w:p>
    <w:p>
      <w:r>
        <w:t>Das BFM hat die Flüchtlingseigenschaft des Beschwerdeführers verneint, sein Asylgesuch abgelehnt und ihn aus der Schweiz weggewiesen. Der Beschwerdeführer beantragt in seiner Beschwerde die Aufhebung der Verfügung, soweit die Ziffern 3, 4 und 5 des Dispositivs betreffend, sowie die vorläufige Aufnahme aufgrund Unzumutbarkeit des Wegweisungsvollzugs. Die Verneinung der Flüchtlingseigen­schaft und die Ab­lehnung des Asylge­suchs sind unangefoch­ten geblieben und mit Ablauf der Beschwerdefrist in Rechtskraft erwachsen (Dispositivziffern 1 und 2). Da die Wegweisung als solche die regelmässige Folge der Ablehnung des Asyls darstellt (vgl. Art. 44 Abs. 1 AsylG) und der Beschwerdeführer die Aufhebung der Wegweisung in seiner Rechtsmitteleingabe nicht begründet, ist davon auszugehen, dass diese (Dispositivziffer 3) ebenfalls mit Ablauf der Rechtsmittelfrist in Rechtskraft erwachsen ist. Es ist deshalb einzig zu prüfen, ob die Wegweisung zu voll­zie­hen oder ob anstelle des Voll­zugs eine vor­läu­fige Aufnahme anzu­ord­nen ist (Art. 44 AsylG i.V.m. Art. 83 des Bundesgesetzes vom 16. De­zem­ber 2005 über die Ausländerinnen und Ausländer [AuG, SR 142.20]).</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Bezug auf die allgemeine Lage in Afghanistan kann auf die vom Bundesverwaltungsgericht vorgenommene Einschätzung der Lage im Grundsatzurteil BVGE 2011/7 verwiesen werden. Das Gericht stellt dort zusammenfassend fest, dass in weiten Teilen Afghanistans - ausser allenfalls in Grossstädten - eine derart schlechte Sicherheitslage und schwierige humanitäre Bedingungen bestünden, dass die Situation als existenzbedrohend im Sinne von Art. 83 Abs. 4 AuG zu qualifizieren sei. Von dieser allgemeinen Feststellung sei die Situation in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erweisen müsse. Ohne Unterstützung durch Familie oder Bekannte würden die schwierigen Lebensverhältnisse auch in Kabul unweigerlich in eine existenziell beziehungsweise lebensbedrohende Situation führen (vgl. a.a.O. E. 9.9.1 f.). Im zur Publikation vorgesehenen Urteil des Bundesverwaltungsgerichts D-7950/2009 vom 30. Dezember 2011 betreffend Zumutbarkeit des Wegweisungsvollzuges in die Stadt Mazar-i-Sharif kommt das Bundesverwaltungsgericht zur Erkenntnis, dass die humanitäre Situation dort nicht wesentlich schlechter ist als jene in Kabul, weshalb analog zu Kabul nicht von einer generellen Unzumutbarkeit des Wegweisungsvollzuges ausgegangen wird.</w:t>
      </w:r>
    </w:p>
    <w:p>
      <w:r>
        <w:rPr>
          <w:b/>
        </w:rPr>
        <w:t>E. 5.3.2</w:t>
      </w:r>
    </w:p>
    <w:p>
      <w:r>
        <w:t>Von der Vorinstanz wurde in ihrer Verfügung die allgemein schlechte humanitäre Situation in Afghanistan nicht in Zweifel gezogen. Weiter führt sie aus, die Sicherheitslage in Mazar-i-Sharif, aus welcher der Beschwerdeführer stamme, sei mit derjenigen in der Hauptstadt Kabul vergleichbar und könne nicht als generell unzumutbar, sondern unter begünstigenden Umständen als zumutbar erkannt werden. Der Beschwerdeführer sei jung und soweit aus den Akten ersichtlich gesund. Er habe sein ganzes bisheriges Leben in Mazar-i-Sharif verbracht und (...). Folglich verfüge er dort über ein sozioökonomisches Beziehungsnetz. Da aufgrund der Erwägungen zum Asylpunkt nicht glaubhaft sei, dass die Familie Opfer einer Verfolgung geworden sei, sei davon auszugehen, dass er über ein tragfähiges familiäres Beziehungsnetz verfüge. Zudem habe er den angeblichen Verkauf des Hauses in Mazar-i-Sharif nicht belegt, so dass davon auszugehen sei, dass dieser nicht stattgefunden habe und er über eine gesicherte Wohnsituation in dieser Stadt verfüge. Er habe dort ferner eine Schwester und weitere Verwandte. Nach seiner Rückkehr werde er nicht in eine existenzbedrohende Situation geraten und könne bei der sozialen und wirtschaftlichen Wiedereingliederung mit der Unterstützung seiner Familie und seines weiteren Beziehungsnetzes rechnen. Der Vollzug der Wegweisung erweise sich demzufolge als zumutbar, technisch möglich und praktisch durchführbar.</w:t>
      </w:r>
    </w:p>
    <w:p>
      <w:r>
        <w:rPr>
          <w:b/>
        </w:rPr>
        <w:t>E. 5.3.3</w:t>
      </w:r>
    </w:p>
    <w:p>
      <w:r>
        <w:t>In seiner Rechtsmitteleingabe entgegnet der Beschwerdeführer, seine Vorbringen würden denen seines in der Schweiz vorläufig aufgenommenen Bruders bei genauerer Betrachtung nicht widersprechen, was er anhand verschiedener Beispiele begründet. Selbst wenn es gewisse Ungereimtheiten geben würde, sei die familiäre Situation des Beschwerdeführers nicht genau abgeklärt worden. Ausserdem sei seine Ausgangslage die gleiche wie jene des Bruders, welcher in der Schweiz vorläufig aufgenommen worden sei. Der Wegweisungsvollzug sei somit unzumutbar. Die in EMARK 2003 Nr. 10 formulierten Voraussetzungen für die Bejahung der Zumutbarkeit des Wegweisungsvollzuges nach Mazar-i-Sharif oder Kabul (im Sinne einer Aufenthaltsalternative) seien nicht erfüllt, weshalb sich der Vollzug der Wegweisung nach Afghanistan im Sinne von Art. 83 Abs. 4 AuG als unzumutbar erweise.</w:t>
      </w:r>
    </w:p>
    <w:p>
      <w:r>
        <w:rPr>
          <w:b/>
        </w:rPr>
        <w:t>E. 5.3.4</w:t>
      </w:r>
    </w:p>
    <w:p>
      <w:r>
        <w:t>In seiner Vernehmlassung, welche dem Beschwerdeführer aus prozessökonomischen Gründen mit vorliegendem Entscheid zur Kenntnis gebracht wird, unterlässt es das BFM, zum Umstand Stellung zu nehmen, wonach vorliegende Verfügung im Widerspruch stehe zum Urteil des Bundesverwaltungsgerichts betreffend den Bruder, hält vollumfänglich an seinen Erwägungen fest und beantragt die Abweisung der Beschwerde.</w:t>
      </w:r>
    </w:p>
    <w:p>
      <w:r>
        <w:rPr>
          <w:b/>
        </w:rPr>
        <w:t>E. 5.3.5</w:t>
      </w:r>
    </w:p>
    <w:p>
      <w:r>
        <w:t>Das Bundesverwaltungsgericht argumentierte bezüglich des Bruders, dass nicht von einem genügend tragfähigen Beziehungsnetz, welches diesem aufgrund der aktuell schwierigen Verhältnisse bei der Reintegration in der Stadt Mazar-i-Sharif behilflich sein könnte, auszugehen sei, wobei die vorinstanzlichen Akten des Beschwerdeführers beigezogen und mitberücksichtigt wurden. Mit Blick auf die Situation im Heimatland sei der Wegweisungsvollzug nach Mazar-i-Sharif als nicht zumutbar zu qualifizieren. Da sich überdies gemäss Akten weder in Kabul noch Herat Verwandte befinden würden, bestehe keine Aufenthaltsalternative in diesen Städten. Das Bundesverwaltungsgericht kommt nach eingehender Prüfung der Akten zum Schluss, dass sich die vom BFM vorgenommene unterschiedliche Beurteilung der familiären Situation des Beschwerdeführers und jener seines Bruders nicht rechtfertigen lässt und ferner von der Vorinstanz auch nicht begründet wurde. Die vorinstanzliche Begründung mit der Unglaubhaftigkeit der Asylvorbringen und der Folgerung auf ein bestehendes tragfähiges Beziehungsnetz in Mazar-i-Sharif ist dabei unbeachtlich. Da der Beschwerdeführer somit nicht über ein genügend tragfähiges Beziehungsnetz verfügt, ist der Wegweisungsvollzug nach Mazar-i-Sharif als unzumutbar zu qualifizieren, und Hinweise auf eine Aufenthaltsalternative in Kabul oder Herat bestehen nicht.</w:t>
      </w:r>
    </w:p>
    <w:p>
      <w:r>
        <w:rPr>
          <w:b/>
        </w:rPr>
        <w:t>E. 5.3.6</w:t>
      </w:r>
    </w:p>
    <w:p>
      <w:r>
        <w:t>Insgesamt erweist sich der Vollzug der Wegweisung nach Afghanistan im Sinne von Art. 83 Abs. 4 AuG als unzumutbar. Nachdem sich aus den Akten keine Ausschlussgründe im Sinne von Art. 83 Abs. 7 AuG ergeben, sind die Voraussetzungen für die Anordnung der vorläufigen Aufnahme somit erfüllt.</w:t>
      </w:r>
    </w:p>
    <w:p>
      <w:r>
        <w:rPr>
          <w:b/>
        </w:rPr>
        <w:t>E. 6</w:t>
      </w:r>
    </w:p>
    <w:p>
      <w:r>
        <w:t>Die Beschwerde ist nach dem Gesagten gutzuheissen. Die Ziffern 4 und 5 des Dispositivs der angefochtenen Verfügung des BFM vom 13. Juni 2012 sind aufzuheben und die Vorinstanz ist anzuweisen, den Beschwerdeführer in der Schweiz vorläufig aufzunehmen.</w:t>
      </w:r>
    </w:p>
    <w:p>
      <w:r>
        <w:rPr>
          <w:b/>
        </w:rPr>
        <w:t>E. 7</w:t>
      </w:r>
    </w:p>
    <w:p>
      <w:r>
        <w:t>Bei diesem Ausgang des Verfahrens und aufgrund der mit Zwischenverfügung vom 17. Juli 2012 gewährten unentgeltlichen Rechtspflege sind keine Kosten zu erheben (Art. 63 Abs. 1 VwVG).</w:t>
      </w:r>
    </w:p>
    <w:p>
      <w:r>
        <w:rPr>
          <w:b/>
        </w:rPr>
        <w:t>E. 8</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Mit der Beschwerde hat der Rechtsvertreter eine Honorarnote von total Fr. 2'042.- (inklusive Auslagen) eingereicht, welche aufgrund des Umfangs des Verfahrens als überhöht zu beurteilen ist. Nach Einreichung der Kostennote wurden neben der Einreichung einer Fürsorgebestätigung keine weiteren Eingaben mehr gemacht. Gestützt auf die in Betracht zu ziehenden Bemessungsfaktoren (Art. 7 ff. VGKE) wird die Parteientschädigung auf angemessene Fr. 1'400.- (inkl. Auslagen)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