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E-3673/2018 vom 10. Dezember 2020</w:t>
      </w:r>
    </w:p>
    <w:p>
      <w:r>
        <w:t>Bundesverwaltungsgericht, 2020-12-10, DE</w:t>
      </w:r>
    </w:p>
    <w:p>
      <w:r>
        <w:rPr>
          <w:b/>
        </w:rPr>
        <w:t xml:space="preserve">Quelle: </w:t>
      </w:r>
      <w:r>
        <w:t>https://mcp.opencaselaw.ch/entscheid/bvger_E-3673_2018</w:t>
      </w:r>
    </w:p>
    <w:p>
      <w:r>
        <w:t>FR: TAF E-3673/2018 du 10 décembre 2020</w:t>
      </w:r>
    </w:p>
    <w:p>
      <w:r>
        <w:t>IT: TAF E-3673/2018 del 10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zunächst eine Verletzung des rechtlichen Gehörs gerügt. Diese formelle Rüge ist vorab zu beurteilen, da sie allenfalls geeignet wäre,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Setzt sich eine Behörde nicht in ausreichendem Mass mit den rechtsgenügend vorgebrachten Rügen auseinander, so begeht sie eine Verletzung des rechtlichen Gehörs (vgl. Rhinow et al., Öffentliches Prozessrecht, 3. Aufl. 2014, Rz. 287).</w:t>
      </w:r>
    </w:p>
    <w:p>
      <w:r>
        <w:rPr>
          <w:b/>
        </w:rPr>
        <w:t>E. 3.3</w:t>
      </w:r>
    </w:p>
    <w:p>
      <w:r>
        <w:t>In der Beschwerde wird vorgebracht, die Vorinstanz habe lediglich die Aussagen des Beschwerdeführers, nicht aber diejenigen der Beschwerdeführerin berücksichtigt, obwohl ihre Aussagen bezüglich einer verbotenen Doppelehe von entscheidender Bedeutung seien.</w:t>
      </w:r>
    </w:p>
    <w:p>
      <w:r>
        <w:rPr>
          <w:b/>
        </w:rPr>
        <w:t>E. 3.4</w:t>
      </w:r>
    </w:p>
    <w:p>
      <w:r>
        <w:t>Entgegen der in der Beschwerde vertretenen Ansicht ist festzustellen, dass sich die Vorinstanz in der angefochtenen Verfügung sowohl mit den Angaben des Beschwerdeführers als auch mit den Aussagen der Beschwerdeführerin auseinandergesetzt und diese gewürdigt hat. Die Beschwerdeführerin hat nie die Befürchtung geäussert, sie würde im Iran aufgrund des Eingehens einer Doppelehe verfolgt. Für die Vorinstanz bestand daher auch keine Veranlassung dies zu prüfen. Eine Verletzung des rechtlichen Gehörs ist jedenfalls nicht erkennbar.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5.1</w:t>
      </w:r>
    </w:p>
    <w:p>
      <w:r>
        <w:t>Die Vorinstanz kam in der angefochtenen Verfügung zum Schluss, die Vorbringen der Beschwerdeführenden hielten den Anforderungen an die Flüchtlingseigenschaft gemäss Art. 3 AsylG nicht stand. Zur Begründung hielt sie fest, der Beschwerdeführer habe vorgebracht, ihm sei nicht geholfen worden, als er in D._______ Anzeige erstattet habe. Die Justizbeamten hätten ihm zu verstehen gegeben, die Übergriffe seien selbstverschuldet, da er eine Afghanin geheiratet habe. Aus rassistischen Gründen seien die Beamten nicht willens gewesen, die Verantwortlichen zur Rechenschaft zu ziehen, und hätten nur 50% ihrer Pflicht getan. Aus den Akten gehe hingegen hervor, dass die Justizbehörde die Anzeige nicht aus rassistischen Motiven nicht weiterverfolgt, sondern aus verfahrenstechnischen Gründen fallengelassen hätten. Denn gemäss den Aussagen des Beschwerdeführers seien im Anschluss an die Registrierung der Anzeige Vorladungen an die Betroffenen verschickt worden. Die rassistischen Bemerkungen seien die Verfehlung eines einzelnen Beamten gewesen, welche nicht die Einstellung des gesamten iranischen Justizapparates repräsentiere und auch nicht dazu geführt habe, dass die iranischen Behörden ihrer Schutzpflicht nicht nachgekommen seien. Ferner hätten die iranischen Behörden die Ehe zwischen dem Beschwerdeführer und der Beschwerdeführerin anerkannt und der Beschwerdeführerin die iranische Staatsangehörigkeit zugesprochen. Es sei ihnen daher zuzumuten, sich für Schutz an die iranischen Behörden zu wenden. Da die Beschwerdeführenden sich nicht an die Polizei gewendet hätten, könnten sie sich nicht auf einen fehlenden staatlichen Schutzwillen berufen, zumal sich der Staat beim ersten Übergriff als schutzwillig gezeigt habe. Die Übergriffe, welche die Beschwerdeführerin in ihrem Elternhaus durch ihre Familie erlebt habe, seien als abgeschlossen zu betrachten. Sie habe der Gewalt durch ihre Ehe entfliehen können. Ausserdem habe sie keine Verfolgung durch ihre Familie geltend gemacht, sondern die Gewaltakte gegen ihren Ehemann hätten sie zur Flucht getrieben. Die Beschwerdeführenden erfüllten die Flüchtlingseigenschaft nicht, weshalb das Asylgesuch abzulehnen sei.</w:t>
      </w:r>
    </w:p>
    <w:p>
      <w:r>
        <w:rPr>
          <w:b/>
        </w:rPr>
        <w:t>E. 5.2</w:t>
      </w:r>
    </w:p>
    <w:p>
      <w:r>
        <w:t>In der Beschwerde wird vorgebracht, entgegen der Ansicht der Vorinstanz sei die Anzeige nicht aus verfahrenstechnischen Gründen fallengelassen worden, sondern gemäss übereinstimmenden Aussagen der Beschwerdeführenden, weil sie keine Zeugen gehabt hätten und der Richter keine Zeit gehabt habe, ihre Sache weiter anzuhören. Daraus gehe klar hervor, dass das iranische Justizsystem gegenüber afghanischen Staatsangehörigen keinen Schutzwillen habe. Die Tatsache fehlender Zeugen könne in einer Strafsache nicht einfach eine Einstellung nach sich ziehen. Vielmehr seien die Betroffenen anzuhören und ihre Aussagen zu gewichten. Der Richter habe indes schlicht kein Interesse daran gehabt, den Fall weiter zu verfolgen. Daher sei es nachvollziehbar, dass das Vertrauen der Beschwerdeführenden in die iranische Justiz nachhaltig erschüttert worden sei. Ihnen könne aufgrund dessen nicht vorgeworfen werden, dass sie beim späteren Angriff keine Anzeige erstattet hätten. Es könne nicht vom Verfehlen eines einzelnen Richters gesprochen werden, vielmehr bestehe systembedingt keinerlei Schutzwillen und -fähigkeit, die Beschwerdeführenden vor Übergriffen der Familie der Beschwerdeführerin zu schützen, die Täter zu verfolgen und zu bestrafen. Die Vorinstanz verkenne weiter, dass die Beschwerdeführerin gemäss ihrem Vater bereits verheiratet gewesen sei. Eine solche doppelte Heirat einer Frau ziehe im Iran schwerste Strafen nach sich. Es sei nicht aktenkundig, dass die Behörden die Ehe zwischen den Beschwerdeführenden anerkannt hätten. Zudem sei den Behörden die traditionelle Heirat der Beschwerdeführerin nicht bekannt gewesen, ansonsten ein Strafverfahren gegen die Beschwerdeführenden eingeleitet worden wäre. Die Beschwerdeführerin habe daher auch eine übermässig harte Bestrafung durch den iranischen Staat wegen Doppelehe zu befürchten. Der Schluss der Vorinstanz, nur der Beschwerdeführer sei durch die Familie der Beschwerdeführerin verfolgt, die Beschwerdeführerin habe nichts zu befürchten, gehe fehl, da die Beschwerdeführerin nur deshalb nie angegriffen worden sei, weil sie das Haus nicht mehr verlassen habe. Ihre Verwandten hätten keine Kenntnis von ihrem Wohnort gehabt. Die Verwandten hätten aber Drohungen ausgesprochen. Es verbiete sich unter den vorliegenden Umständen, davon auszugehen, die frauenspezifischen Fluchtgründe seien «abgeschlossen». Die Beschwerdeführerin habe sich dem durch ihren Weggang nicht entziehen können, was die Suche ihrer Familie nach ihr in D._______ und E._______ zeige. Bei der verübten Messerattacke hätte der Beschwerdeführer sterben können. Die Beschwerdeführenden seien durch die Familie der Beschwerdeführerin an Leib und Leben bedroht und würden vom iranischen Staat nicht geschützt.</w:t>
      </w:r>
    </w:p>
    <w:p>
      <w:r>
        <w:rPr>
          <w:b/>
        </w:rPr>
        <w:t>E. 5.3</w:t>
      </w:r>
    </w:p>
    <w:p>
      <w:r>
        <w:t>Die Vorinstanz führt in ihrer Vernehmlassung aus, die Furcht der Beschwerdeführerin vor einer Verfolgung aufgrund einer Doppelehe sei in der Anhörung mit keinem Wort zur Sprache gebracht worden. Im Gegenteil gehe aus dem Protokoll hervor, dass sie zum Zeitpunkt der Eheschliessung mit dem Beschwerdeführer unverheiratet gewesen sei. Nach eigenen Angaben sei sie nicht offiziell mit ihrem Cousin aus Afghanistan verheiratet gewesen. Die gemeinsame Zeit basiere auf einer mittelfristigen Zeitehe und sei jeweils nur für den Aufenthalt des Cousins im Iran gültig gewesen. Aus dem Protokoll gehe weiter hervor, dass der Vater der Beschwerdeführerin, nachdem der Beschwerdeführer um deren Hand angehalten gehabt hatte, den Cousin darüber informiert habe, er müsse die Beschwerdeführerin nicht einmal mehr heiraten, er (der Vater) gebe die Tochter gegen Entgelt weg. Daraus gehe hervor, dass die Beschwerdeführerin bei der Eheschliessung mit dem Beschwerdeführer unverheiratet gewesen sei und somit im Iran keine staatliche Verfolgung wegen einer Doppelehe zu befürchten habe. Ein weiteres Indiz dafür sei die Anzeige des Beschwerdeführers gegen die Familienmitglieder seiner Frau, die er nicht erstattet hätte, wenn sie im Iran tatsächlich eine Bestrafung wegen einer Doppelehe befürchtet hätte. Das eingereichte Video einer traditionellen Heiratszeremonie der Beschwerdeführerin mit ihrem Cousin vermöge keine gültige Zeitehe zu belegen, da das Video keine Orts- und Zeitangaben beinhalte und dem SEM die Teilnehmenden im Video nicht bekannt seien.</w:t>
      </w:r>
    </w:p>
    <w:p>
      <w:r>
        <w:rPr>
          <w:b/>
        </w:rPr>
        <w:t>E. 5.4</w:t>
      </w:r>
    </w:p>
    <w:p>
      <w:r>
        <w:t>In der Replik wird dem entgegengehalten, die Vorinstanz unterschlage die Aussage des Vaters der Beschwerdeführerin, dass sie bereits verheiratet gewesen sei und er keine ledige Tochter habe. Damit sei belegt, dass die Beschwerdeführerin eine unverhältnismässig harte Strafe wegen Doppelehe zu erwarten habe. Die eingereichte Anzeige gegen den älteren Bruder der Beschwerdeführerin habe gar nichts mit ihrem ehelichen Status zu tun. Der von der Vorinstanz hergestellte Zusammenhang und das abgeleitete Argument, sie hätten keine Anzeige eingereicht, wenn sie etwas befürchtet hätten, sei nicht nachvollziehbar.</w:t>
      </w:r>
    </w:p>
    <w:p>
      <w:r>
        <w:rPr>
          <w:b/>
        </w:rPr>
        <w:t>E. 6.1</w:t>
      </w:r>
    </w:p>
    <w:p>
      <w:r>
        <w:t>Die Vorinstanz hat die Glaubhaftigkeit der Vorbringen der Beschwerdeführenden nicht in Frage gestellt. Auch für das Gericht besteht keine Veranlassung, am geltend gemachten Sachverhalt zu zweifeln. Es ist daher zu prüfen, ob die Vorinstanz gestützt darauf die Flüchtlingseigenschaft der Beschwerdeführenden zu Recht verneinte.</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 Familie oder auf individuell-privater Basis genügt dagegen nicht (vgl. BVGE 2011/51 E. 7.2 mit weiteren Hinweisen).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vorhanden sind.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BVGE 2011/51 E. 7.3). Ein subsidiäres internationales Schutzbedürfnis im Sinne der Schutztheorie kann sich für die von Verfolgung betroffene Person demnach ergeben, weil im Heimatstaat keine Schutzinfrastruktur besteht, die ihr Schutz bieten könnte (vgl.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w:t>
      </w:r>
    </w:p>
    <w:p>
      <w:r>
        <w:rPr>
          <w:b/>
        </w:rPr>
        <w:t>E. 6.3.1</w:t>
      </w:r>
    </w:p>
    <w:p>
      <w:r>
        <w:t>Der Beschwerdeführer macht geltend, er sei von Familienmitgliedern der Beschwerdeführerin ernsthaft an Leib und Leben bedroht und auch bereits verletzt worden. In D._______ habe er sich an die Behörden gewendet, die seiner Meinung nach nur 50% ihrer Pflicht erfüllt hätten. Nach dem Angriff in E._______ habe er sich nicht an die Behörden gewandt, weil er gedacht habe, diese würden ihm ohnehin nicht helfen.</w:t>
      </w:r>
    </w:p>
    <w:p>
      <w:r>
        <w:rPr>
          <w:b/>
        </w:rPr>
        <w:t>E. 6.3.2</w:t>
      </w:r>
    </w:p>
    <w:p>
      <w:r>
        <w:t>Der Beschwerdeführer hat selbst angegeben, die Behörden hätten den Vorfall in D._______ untersucht und Vorladungen an die Betroffenen verschickt. Die Vorinstanz hat zutreffend festgehalten, die rassistisch Aussage eines Justizbeamten widerspiegle nicht die Ansicht des gesamten Justizapparats. Nach Erkenntnissen des Gerichts sind die iranischen Behörden als grundsätzlich schutzfähig und schutzwillig zu bezeichnen. Die zuständigen Behörden in D._______ haben denn auch Ermittlungen über den Angriff des Beschwerdeführers in die Wege geleitet, was gerade zeigt, dass sie ihrer Pflicht nachgekommen sind. Der Beschwerdeführer ist iranischer Bürger, weshalb auch nicht davon auszugehen ist, die Behörden hätten die Ermittlungen aus rassistischen Motiven nicht sachgemäss geführt. Solches ist aus den Akten auch nicht ersichtlich. Das in der Beschwerde vorgebrachte Argument, die iranischen Behörden seien gegenüber Afghanen und Afghaninnen nicht schutzwillig, greift gegenüber dem Beschwerdeführer als iranischer Staatsangehöriger, der von Personen mit afghanischer Staatsangehörigkeit angegriffen worden war, gerade nicht. Dass die Behörden nicht das Mögliche getan hätten, um die Tat aufzuklären und die Schuldigen zu verfolgen, beruht alleine auf einer Vermutung des Beschwerdeführers und findet in den Akten keine Stütze. Festzuhalten ist ferner, dass vom Staat nicht eine faktische Garantie für einen langfristigen individuellen Schutz der von nichtstaatlicher Verfolgung bedrohten Personen zu verlangen ist, weil es keinem Staat gelingen kann, die absolute Sicherheit seiner Bürgerinnen und Bürger jederzeit und überall zu garantieren (vgl. BVGE 2011/51 E. 7.3 m.w.H.).</w:t>
      </w:r>
    </w:p>
    <w:p>
      <w:r>
        <w:rPr>
          <w:b/>
        </w:rPr>
        <w:t>E. 6.3.3</w:t>
      </w:r>
    </w:p>
    <w:p>
      <w:r>
        <w:t>Den Vorfall in E._______ brachte der Beschwerdeführer eigenen Angaben zufolge nicht zur Anzeige, womit er den Behörden von vornherein gar keine Möglichkeit gab, ihren Pflichten nachzukommen und ihren Schutzwillen zu zeigen. Entgegen der in der Beschwerde vertretenen Ansicht ist nicht nachvollziehbar, weshalb das Vertrauen der Beschwerdeführenden in die iranischen Behörden wegen einer ungebührenden Äusserung eines einzelnen Justizbeamten derart nachhaltig erschüttert worden sein sollte, dass die Beschwerdeführenden sich nie mehr an die Behörden wenden und den Vorfall in E._______ nicht zur Anzeige bringen wollten. Es ist davon auszugehen, dass auch die Behörden in E._______ willens und in der Lage gewesen wären, die nötigen Schritte zur Aufklärung der am Beschwerdeführer begangenen Körperverletzung aufzuklären.</w:t>
      </w:r>
    </w:p>
    <w:p>
      <w:r>
        <w:rPr>
          <w:b/>
        </w:rPr>
        <w:t>E. 6.4</w:t>
      </w:r>
    </w:p>
    <w:p>
      <w:r>
        <w:t>In der Beschwerde wird weiter vorgebracht, es sei nicht aktenkundig, dass die Ehe zwischen der Beschwerdeführerin und dem Beschwerdeführer anerkannt worden sei. Damit widerspricht der Rechtsvertreter den von den Beschwerdeführenden gemachten Angaben im Asylverfahren, die stets angaben, die Beschwerdeführerin habe durch ihre Heirat mit dem Beschwerdeführer die iranische Staatsangehörigkeit erlangt (vgl. bereits Personalienblatt SEM-Akte A1/2). Dieses Argument ist demnach nicht zu hören.</w:t>
      </w:r>
    </w:p>
    <w:p>
      <w:r>
        <w:rPr>
          <w:b/>
        </w:rPr>
        <w:t>E. 6.5</w:t>
      </w:r>
    </w:p>
    <w:p>
      <w:r>
        <w:t>Bezüglich der Befürchtung der Beschwerdeführerin aufgrund des Führens einer Doppelehe schwer bestraft zu werden, ist festzustellen, dass die Beschwerdeführerin angab, die Ehe mit ihrem Cousin sei jeweils für die Zeit geschlossen worden, als dieser sich bei ihrer Familie im Iran aufgehalten habe. Diese Ehe bestand demzufolge nur vorübergehend während einer bestimmten Zeit. Die jeweils zuvor geschlossenen Zeitehen konnten einer Dauerehe der Beschwerdeführerin mit dem Beschwerdeführer also nicht entgegenstehen. Die angeführte Aussage des Vaters der Beschwerdeführerin gegenüber der Familie des Beschwerdeführers - sie sei bereits verheiratet - dürfte mit grosser Wahrscheinlichkeit darauf beruhen, dass die Beschwerdeführerin ihrem Cousin bereits versprochen gewesen war und ihr Vater sie gemäss ihren Angaben nicht mit einem Iraner verheiratet sehen wollte. Seitens der iranischen Behörden hat die Beschwerdeführerin aber keine Bestrafung aufgrund der Eheschliessung mit dem Beschwerdeführer zu befürchten.</w:t>
      </w:r>
    </w:p>
    <w:p>
      <w:r>
        <w:rPr>
          <w:b/>
        </w:rPr>
        <w:t>E. 6.6</w:t>
      </w:r>
    </w:p>
    <w:p>
      <w:r>
        <w:t>In der Beschwerde wird vorgetragen, die Beschwerdeführerin habe auch Verfolgung durch ihre eigene Familie erfahren. Diesbezüglich ist mit der Vorinstanz festzustellen, dass die im Elternhaus erlittenen gewalttätigen Vorfälle als abgeschlossen gelten müssen. Die Asylgewährung dient nicht dem Ausgleich oder der Wiedergutmachung von vergangenem Unrecht. Mit der Vermählung mit dem Beschwerdeführer hat sich die Beschwerdeführerin unter dessen Schutz gestellt. Durch die Ehe hat sie zudem ebenfalls die iranische Staatsangehörigkeit erhalten. Sollte sie weiterhin Behelligungen durch ihre eigene Familie fürchten, kann sie sich - wie von der Vorinstanz zu Recht festgestellt - gegebenenfalls zusammen mit ihrem Ehemann, an die iranischen Behörden wenden und um Schutz ersuchen. Es liegen keine Hinweise dafür vor, dass die iranischen Behörden bei Bedarf ihr gegenüber nicht willig und fähig wären, die notwendigen strafrechtlichen Massnahmen in die Wege zu leiten. Im Iran steht den Beschwerdeführenden eine funktionierende und effiziente Schutzinfrastruktur (Polizei und Justizsystem) zur Verfügung. Nachdem der Beschwerdeführer in D._______ auch bereits Gebrauch davon gemacht hat, liegen keine Hinweise dafür vor, die iranischen Behörden würden ihnen bei einer Rückkehr den notwendigen Schutz verweigern. Es wird nicht geltend gemacht und es liegen auch keine Hinweise dafür vor, dass es der Beschwerdeführerin nicht zumutbar wäre, sich an die iranischen Behörden zu wenden.</w:t>
      </w:r>
    </w:p>
    <w:p>
      <w:r>
        <w:rPr>
          <w:b/>
        </w:rPr>
        <w:t>E. 6.7</w:t>
      </w:r>
    </w:p>
    <w:p>
      <w:r>
        <w:t>Nach dem Gesagten sind die Vorbringen der Beschwerdeführenden als nicht asylrelevant zu beurteilen. Wie von der Vorinstanz in der Vernehmlassung zutreffend festgestellt, vermögen auch die eingereichten Beweismittel offensichtlich nichts an dieser Feststellung zu ändern. Die Vorinstanz hat somit die Flüchtlingseigenschaft der Beschwerdeführenden zu Recht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Vorinstanz stellte in der angefochtenen Verfügung fest, weder die herrschende politische Situation noch andere Gründe sprächen gegen die Zumutbarkeit der Rückkehr der Beschwerdeführenden in den Iran. Im Iran herrscht weder Krieg oder Bürgerkrieg noch eine Situation allgemeiner Gewalt, aufgrund derer eine Rückkehr generell unzumutbar wäre (vgl. statt vieler zuletzt Urteil des BVGer E-4473/2020 vom 17. November 2020 E. 10.4). Den Akten lassen sich keine konkreten Anhaltspunkte für die Annahme finden, die Beschwerdeführenden würden bei einer Rückkehr in den Iran aus individuellen Gründen wirtschaftlicher, sozialer oder gesundheitlicher Natur in eine existenzbedrohende Situation geraten. Der Vollzug erweist sich somit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Beschwerdeführenden aufzuerlegen (Art. 63 Abs. 1 VwVG). Da ihnen indes mit Zwischenverfügung vom 4. Juli 2018 die unentgeltliche Prozessführung gewährt wurde und keine massgebliche Veränderung der finanziellen Verhältnisse ersichtlich ist, sind keine Verfahrenskosten zu erheben (Art. 1-3 des Reglements vom 21. Februar 2008 über die Kosten und Entschädigungen vor dem Bundesverwaltungsgericht [VGKE, SR 173.320.2]).</w:t>
      </w:r>
    </w:p>
    <w:p>
      <w:r>
        <w:rPr>
          <w:b/>
        </w:rPr>
        <w:t>E. 10.2</w:t>
      </w:r>
    </w:p>
    <w:p>
      <w:r>
        <w:t>Das Gericht bestellte den Beschwerdeführenden mit Verfügung vom 4. Juli 2018 Rechtsanwalt Florian Wick als amtlichen Rechtsbeistand. Der in seiner Honorarnote vom 6. August 2018 aufgeführte zeitliche Aufwand von 7.75 Stunden erscheint angemessen, der geltend gemachte Stundenansatz von Fr. 220.- liegt im Rahmen von Art. 12 i.V.m. Art. 10 Abs. 2 VGKE und die Barauslagen von Fr. 33.- sind ausgewiesen. Das Honorar in der Höhe von Fr. 1'871.90 ist dem amtlichen Rechtsbeistand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