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E-3670/2018 vom 9. August 2018</w:t>
      </w:r>
    </w:p>
    <w:p>
      <w:r>
        <w:t>Bundesverwaltungsgericht, 2018-08-09, DE</w:t>
      </w:r>
    </w:p>
    <w:p>
      <w:r>
        <w:rPr>
          <w:b/>
        </w:rPr>
        <w:t xml:space="preserve">Quelle: </w:t>
      </w:r>
      <w:r>
        <w:t>https://mcp.opencaselaw.ch/entscheid/bvger_E-3670_2018</w:t>
      </w:r>
    </w:p>
    <w:p>
      <w:r>
        <w:t>FR: TAF E-3670/2018 du 9 août 2018</w:t>
      </w:r>
    </w:p>
    <w:p>
      <w:r>
        <w:t>IT: TAF E-3670/2018 del 9 agosto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vorliegendem Urteil gegenstandslos geworden.</w:t>
      </w:r>
    </w:p>
    <w:p>
      <w:r>
        <w:rPr>
          <w:b/>
        </w:rPr>
        <w:t>E. 5</w:t>
      </w:r>
    </w:p>
    <w:p>
      <w:r>
        <w:t>Der Antrag, es seien dem Beschwerdeführer alle nicht öffentlich zugänglichen Quellen des Lagebildes des SEM vom 16. August 2016 offenzulegen, ist abzuweisen (vgl. Urteil des BVGer D-109/2018 vom 16. Mai 2018 E. 6.3). Entsprechend ist auch der Antrag auf Einräumung einer Frist zur Beschwerdeergänzung abzuweisen.</w:t>
      </w:r>
    </w:p>
    <w:p>
      <w:r>
        <w:rPr>
          <w:b/>
        </w:rPr>
        <w:t>E. 6</w:t>
      </w:r>
    </w:p>
    <w:p>
      <w:r>
        <w:t>In der Beschwerde werden verschiedene formelle Rügen erhoben, die vorab zu beurteilen sind, da sie allenfalls geeignet wären, eine Kassation der vorinstanzlichen Verfügung zu bewirken. Der Beschwerdeführer rügt eine Verletzung des Anspruchs auf gleiche und gerechte Behandlung, des Willkürverbots, des rechtlichen Gehörs sowie der Pflicht zur vollständigen und richtigen Abklärung des rechtserheblichen Sachverhalts.</w:t>
      </w:r>
    </w:p>
    <w:p>
      <w:r>
        <w:rPr>
          <w:b/>
        </w:rPr>
        <w:t>E. 7.1</w:t>
      </w:r>
    </w:p>
    <w:p>
      <w:r>
        <w:t>Der Beschwerdeführer bringt vor, die Verfügung der Vorinstanz sei wegen der widerrechtlichen Nichtnennung der Namen der für den Entscheid des SEM verantwortlichen Fachspezialistin aufzuheben und an die Vorinstanz zurückzuweisen. Aus der Unterschrift der Fachspezialistin lässt sich klar und deutlich ihr Name (D._______) ablesen (vgl. SEM-Akten A25). Der Name der Chefin Fachbereich Asylverfahren lässt sich, wie dem Rechtsvertreter des Beschwerdeführers bekannt sein dürfte, dem Staatskalender entnehmen. Der Antrag auf Offenlegung der Namen der SEM-Mitarbeiterinnen erscheint vor diesem Hintergrund trölerisch. Das Fehlen der Namen in der angefochtenen Verfügung selbst stellt keinen besonders schwerwiegenden Mangel dar, welcher die Nichtigkeit der Verfügung nach sich ziehen würde (vgl. Teilurteil des BVGer D-1549/2017 vom 2. Mai 2018 E. 8.4 [zur Publikation vorgesehen]).</w:t>
      </w:r>
    </w:p>
    <w:p>
      <w:r>
        <w:rPr>
          <w:b/>
        </w:rPr>
        <w:t>E. 7.2</w:t>
      </w:r>
    </w:p>
    <w:p>
      <w:r>
        <w:t>Die Rüge der Verletzung des rechtlichen Gehörs begründet der Beschwerdeführer mit der zeitlichen Distanz zwischen BzP und der Anhörung. Dieser Zeitraum stellt keine Verletzung des rechtlichen Gehörs dar, zumal es sich bei der vom Beschwerdeführer angerufenen Empfehlung, die Anhörung möglichst zeitnah zur BzP durchzuführen, um keine justiziable Verfahrenspflicht handelt (vgl. Urteil des BVGer D-6560/2016 vom 29. März 2018 E. 5.2). Dasselbe gilt für die geltend gemachten Mängel der BzP, da darin nur verkürzt auf die Asylvorbringen eingegangen worden sei. Der Beschwerdeführer konnte die wichtigsten Vorbringen anlässlich der BzP nennen und hatte bei der Anhörung genügend Zeit, seine Gründe ausführlich darzulegen.</w:t>
      </w:r>
    </w:p>
    <w:p>
      <w:r>
        <w:rPr>
          <w:b/>
        </w:rPr>
        <w:t>E. 7.3</w:t>
      </w:r>
    </w:p>
    <w:p>
      <w:r>
        <w:t>Weiter bemängelt der Beschwerdeführer, die Vorinstanz sei nicht darauf eingegangen, dass sich eine niederschwellige Verfolgung bei einer Rückkehr nach Sri Lanka zufolge seiner Posttraumatischen Belastungsstörung (PTBS) wie eine viel intensivere Verfolgung auswirken würde, wobei er auf das Urteil des Bundesverwaltungsgerichts D-4543/2013 vom 22. November 2017 verweist. Dadurch habe sie ihre Begründungspflicht verletzt. Die Vorinstanz hat nachvollziehbar und differenziert aufgezeigt, von welchen Überlegungen sie sich leiten liess, und hat sich mit den wesentlichen Vorbringen des Beschwerdeführers auseinandergesetzt. Der Umstand, dass der Beschwerdeführer die Auffassung der Vorinstanz nicht teilt, ist keine Verletzung der Begründungspflicht, sondern eine materielle Frage.</w:t>
      </w:r>
    </w:p>
    <w:p>
      <w:r>
        <w:rPr>
          <w:b/>
        </w:rPr>
        <w:t>E. 7.4</w:t>
      </w:r>
    </w:p>
    <w:p>
      <w:r>
        <w:t>Der Beschwerdeführer rügt sodann die unvollständige und nicht korrekte Sachverhaltserstellung. Die Vorinstanz habe keine Nachforschungen zu seinem Bruder C._______ getätigt und keinen ausführlichen Bericht zu seinem Gesundheitszustand eingeholt. Sie habe die aktuelle Situation in Sri Lanka unvollständig und nicht korrekt abgeklärt und das von ihr erstellte Lagebild vom 16. August 2016 genüge den Anforderungen an korrekt erhobene Länderinformationen nicht. Weiter habe sie es unterlassen, die zu erwartende Papierbeschaffung beim sri-lankischen Generalkonsulat in Genf, den standardmässigen behördlichen "Backgroundchecks",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 Der Vorinstanz lag der Arztbericht vom 9. April 2018 vor, weshalb sich weitere Abklärungen zum Gesundheitszustand des Beschwerdeführers erübrigten. Im Rahmen der Mitwirkungspflicht gemäss Art. 8 AsylG hätte er selbst noch weitere ärztliche Berichte vorlegen können und es hätte ihm oblegen, Informationen zu seinem Bruder einzureichen. Die Vorinstanz hat die Ausführungen des Beschwerdeführers vor dem Hintergrund der aktuellen Lage in Sri Lanka gewürdigt. Seine Vorbringen zur geltend gemachten Verfolgung durch die sri-lankischen Sicherheitsbehörden stufte sie als insgesamt unglaubhaft ein.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7.5</w:t>
      </w:r>
    </w:p>
    <w:p>
      <w:r>
        <w:t>Die geltend gemachte Verletzung des Willkürverbots ist nicht genügend substantiiert. Unter Berücksichtigung der nachfolgenden Ausführungen zum Asylpunkt erscheint das Ergebnis der Vorinstanz durchaus vertretbar. Eine Verletzung des rechtlichen Gehörs liegt, wie erwähnt, nicht vor, weshalb auch das Willkürverbot nicht verletzt ist. Eine andere Würdigung des Sachverhalts durch die Vorinstanz als vom Beschwerdeführer gewünscht, bedeutet noch keine Willkür.</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Ihm sei eine Frist zur Einreichung von näheren Informationen zu seinem Bruder in Australien und seinem getöteten Cousin bezüglich deren LTTE-Aktivitäten anzusetzen. Sein Gesundheitszustand sei von Amtes wegen näher abzuklären, allenfalls sei ihm eine angemessene Frist zur Einreichung eines fachärztlichen Gutachtens anzusetzen.</w:t>
      </w:r>
    </w:p>
    <w:p>
      <w:r>
        <w:rPr>
          <w:b/>
        </w:rPr>
        <w:t>E. 8.2</w:t>
      </w:r>
    </w:p>
    <w:p>
      <w:r>
        <w:t>Angesichts der vorliegenden Akten und Umstände sieht sich das Bundesverwaltungsgericht nicht veranlasst, einen ausführlichen Bericht zum Gesundheitszustand des Beschwerdeführers einzuholen. Es hätte ihm zumindest seit Beschwerdeerhebung freigestanden und es wäre seine Mitwirkungspflicht gewesen, einen solchen beizubringen. Ebenfalls wäre es ihm freigestanden, weitere Beweismittel einzureichen und er hätte dazu seit der Stellung seines Asylgesuchs auch genügend Zeit gehabt. Die Beweisanträge sind somit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Zur Begründung des ablehnenden Asylentscheids befand die Vor-instanz die Vorbringen des Beschwerdeführers als nicht glaubhaft, weshalb er die Flüchtlingseigenschaft nicht erfülle. Anlässlich der BzP habe er die einmonatige Inhaftierung durch die LTTE nicht erwähnt, sondern erst bei der Anhörung. Auch wenn an der BzP die Ereignisse nicht in allen Einzelheiten geschildert werden könnten, so sei davon auszugehen, dass wichtige Geschehnisse wie eine Inhaftierung angesprochen würden. Gemäss seinen Aussagen habe sich die angebliche Flucht vor den LTTE Ende 2008 ereignet und die Bombardierung, bei welcher die Familie seines Onkels getötet worden sei, im April 2008. Dies widerspreche seinen Ausführungen, seine Verwandten seien erst nach dieser Flucht getötet worden. Als nachgeschoben sei zu qualifizieren, dass er nicht nur wegen seines Bruders im Visier des CID gewesen sei, sondern auch wegen der LTTE-Vergangenheit der Geschwister seiner Mutter. Dies habe er an der BzP nicht erwähnt und die Richtigkeit dieses Protokolls habe er unterschriftlich bestätigt. Er habe sodann mit seinem eigenen Pass ausreisen können, obwohl ihm das CID bei der letzten Befragung Mitte 2014 mit Gefängnis gedroht habe. Als Hauptgrund für seine Ausreise habe er die Entführung seines Cousins im Jahr 2011 genannt. Wäre seine Angst vor einer eigenen Entführung begründet gewesen, hätte er jedoch sein Heimatland bereits vor dem November 2015 verlassen. Seine Befürchtungen, Muslime, welche sich seit seiner Ausreise in seiner Heimatregion niedergelassen hätten, könnten ihn bei den Behörden denunzieren, erschienen unbegründet. Die Beweismittel könnten keine asylrelevante Verfolgung belegen. Insbesondere habe er selbst - anders als im Schreiben von E._______, Friedensrichter, vom 16. Februar 2017 - nie von Folter gesprochen. Anlässlich der BzP habe er ausgeführt, ihm seien Schläge angedroht worden. An der Anhörung habe er hingegen erstmals angegeben, am Kragen gepackt und an eine Wand gedrückt worden zu sein. Eine schriftliche Vorladung vom CID habe er nie erhalten und es sei auch kein Haftbefehl oder eine gerichtliche Anordnung gegen ihn erlassen worden. Aufgrund der Aktenlage sei nicht ersichtlich, weshalb er bei einer Rückkehr nach Sri Lanka nunmehr in den Fokus der Behörden geraten und in asylrelevanter Weise verfolgt werden sollte.</w:t>
      </w:r>
    </w:p>
    <w:p>
      <w:r>
        <w:rPr>
          <w:b/>
        </w:rPr>
        <w:t>E. 10.2</w:t>
      </w:r>
    </w:p>
    <w:p>
      <w:r>
        <w:t>In seiner Beschwerde macht der Beschwerdeführer geltend, entgegen der Ansicht der Vorinstanz habe er bereits anlässlich der BzP mit dem Hinweis auf seinen Cousin erwähnt, dass er auch wegen der Familie seiner Mutter verfolgt worden sei. Die Widersprüche in den Datumsangaben seien auf seine PTBS zurückzuführen. Er habe beschrieben, wie er anlässlich der Haft gewürgt, am Hals gepackt und zum unfreiwilligen Urinieren gebracht worden sei; dies sei als Folter zu würdigen. Bei seinen Erzählungen würden Realkennzeichen vorliegen, die Chronologie entspreche einer glaubhaften Aussage und auch die Befragerin sei von der Intensität und dem Detailreichtum seiner Vorbringen beeindruckt gewesen. Es sei von der Glaubhaftigkeit seiner Vorbringen auszugehen. Zufolge seiner Herkunft aus dem Vanni-Gebiet, der Flucht seines Bruders im Jahr 2012 nach Australien, der Entführung und Tötung seines Cousins im Jahr 2011 und seiner früheren LTTE-Tätigkeiten erfülle er die Flüchtlingseigenschaft. Die anhaltende Verfolgung habe er mit den Fotos klar dokumentiert. Er sei nicht nur einer Reflexverfolgung wegen seines Bruders, sondern auch einer direkten Verfolgung ausgesetzt. Zufolge seiner schweren Traumatisierung durch Krieg und Verfolgung und der damit zusammenhängenden erhöhten Verfolgungsempfindlichkeit müsse selbst bei nur vergleichsweise geringen Verfolgungshandlungen seine Flüchtlingseigenschaft bejaht werden. Auf Beschwerdeebene reicht er die unter Buchstabe C. erwähnten Beweismittel ein.</w:t>
      </w:r>
    </w:p>
    <w:p>
      <w:r>
        <w:rPr>
          <w:b/>
        </w:rPr>
        <w:t>E. 11.1</w:t>
      </w:r>
    </w:p>
    <w:p>
      <w:r>
        <w:t>Die Vorinstanz ist in ihren Erwägungen zur zutreffenden Erkenntnis gelangt, die Verfolgungsvorbringen des Beschwerdeführers würden den Anforderungen an die Glaubhaftmachung im Sinne von Art. 7 AsylG nicht genügen. Auf die Erwägungen in der Verfügung und die Zusammenfassung unter E. 10.1 kann zur Vermeidung von Wiederholungen verwiesen werden. Sie sind in keinem Punkt zu beanstanden. Der Inhalt der Beschwerde führt zu keiner anderen Betrachtungsweise. Die - durchaus glaubhafte - Tötung der Familie seines Onkels datierte der Beschwerdeführer mit April 2008, wobei er erst Ende 2008 von den LTTE geflohen sein will. Zur geltend gemachten Festhaltung bei den LTTE konnte er keine detaillierten Angaben machen, anders als zu den Befragungen durch das CID. Zudem verstrickte er sich in Widersprüche und nannte die einmonatige Haft - ein einschneidendes Erlebnis - anlässlich der BzP nicht. Auch die LTTE-Vergangenheit der Geschwister seiner Mutter erwähnte er an der BzP nicht und konnte auch bei der Anhörung keine weiteren Ausführungen dazu machen. Vage und oberflächlich blieben seine Erzählungen, er sei nach der ersten Befragung durch das CID immer wieder belästigt worden. Die angeblichen Denunzierungen durch zugezogene Muslime in seinem Heimatdorf stellen lediglich unbestimmte Vermutungen dar. Insgesamt ist nicht von der Glaubhaftigkeit seiner Asylvorbringen auszugehen. Entgegen der Ansicht des Beschwerdeführers liegt gerade kein vergleichbarer Fall zu demjenigen gemäss Urteil des Bundesverwaltungsgerichts D-4543/2013 vom 22. November 2017 vor. In diesem Fall ging es um einen türkischen Staatsangehörigen, welcher wiederholt wegen des Verdachts der PKK-Unterstützung festgenommen, angeklagt und zwischen zwanzig Tagen und zwanzig Monaten in Untersuchungshaft gesetzt wurde. Während seiner wiederholten Inhaftierungen wurde er Opfer nachhaltiger Eingriffe in seine physische Integrität. Nach diesen Inhaftierungen wurde er regelmässig im Vorfeld bestimmter Ereignisse festgenommen und während der jeweils mehrere Tage dauernden Haft, wenn auch nicht mehr gefoltert, so doch immer wieder verhört, weshalb die Übergriffe ebenfalls gewichtig erschienen und nicht als blosse Behelligungen überwiegend schikanöser Art bezeichnet werden konnten (vgl. Urteil des BVGer D-4543/2013 E. 5.3). Der Beschwerdeführer selbst wurde nie längere Zeit inhaftiert und seine Aussagen zu den Misshandlungen anlässlich seiner dritten Befragung fielen widersprüchlich aus. Anlässlich der BzP meinte er dazu, ihm seien Schläge angedroht worden, er sei dann jedoch lediglich am Kragen gepackt und zur Seite gestossen worden (vgl. A3 S. 7). Bei der Anhörung schilderte er, er sei gewürgt worden und habe urinieren müssen (vgl. A17 S. 12). Auf Nachfrage bestätigte er, er sei eingeschüchtert worden, aber sonst sei ihm nichts passiert (vgl. A17 F99). Nach der asylrechtlichen Literatur und Praxis gilt der zeitliche Kausalzusammenhang in der Regel nach sechs bis zwölf Monaten als unterbrochen (vgl. BVGE 2009/51 E. 4.2.5 m.w.H.). Die dritte Befragung des Beschwerdeführers durch das CID fand im Juli 2014 statt und er wurde danach weder festgenommen noch angeklagt noch unterlag er einer Meldepflicht (vgl. A17 S. 19). Sri Lanka verliess er im November 2015. Seine Begründung, er habe die Flucht erst organisieren müssen und habe sich nach der dritten Befragung stets versteckt und nicht mehr in Mullaitivu aufgehalten, vermag nicht zu überzeugen. Er führte nicht näher aus, wie und wo er diese doch lange Zeit verbracht haben will. Zudem steht diese Aussage im Widerspruch zu seinen Ausführungen anlässlich der BzP, wonach er bis zu seiner Ausreise in B._______, Distrikt Mullaitivu, gelebt habe (vgl. A3 S. 4). Vor diesem Hintergrund fehlt es an einem zeitlichen Kausalzusammenhang zwischen der letzten Befragung durch das CID im Juli 2014 und der Ausreise im November 2015. In einer Gesamtwürdigung ist nicht davon auszugehen, dass der Beschwerdeführer in Sri Lanka einer asylrelevanten Verfolgungssituation ausgesetzt gewesen war; dies wird auch durch seine Ausreise mit seinem eigenen Pass gestützt. Die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Der Beschwerdeführer war sodann nie politisch tätig, auch nicht nach seiner Ausreise (vgl. A17 F146).</w:t>
      </w:r>
    </w:p>
    <w:p>
      <w:r>
        <w:rPr>
          <w:b/>
        </w:rPr>
        <w:t>E. 11.2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11.3</w:t>
      </w:r>
    </w:p>
    <w:p>
      <w:r>
        <w:t>Nachdem die Asylvorbringen des Beschwerdeführers unglaubhaft ausgefallen sind, er selbst keine Verbindung zu den LTTE aufweist, keine Reflexverfolgung vorliegt und er auch nicht exilpolitisch tätig ist, erfüllt er keine der oben erwähnten stark risikobegründenden Faktoren. Weiter wurde er keiner Straftat angeklagt oder verurteilt und verfügt somit auch nicht über einen Strafregistereintrag. Alleine aus der tamilischen Ethnie und der rund dreijährigen Landesabwesenheit kann er keine Gefährdung ableiten. In die Gesamtwürdigung ist weiter der familiäre Hintergrund des Beschwerdeführers miteinzubeziehen. Seine Familie in Sri Lanka weist aktuell keine Verbindungen zu den LTTE aus. Sein Bruder, welcher gemäss den Ausführungen des Beschwerdeführers für die LTTE tätig war, ist im Jahr 2012 nach Australien ausgereist. Der Beschwerdeführer wurde zwar dreimal durch das CID befragt, hatte aber nach Juli 2014 keine Probleme mehr mit den sri-lankischen Behörden.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11.4</w:t>
      </w:r>
    </w:p>
    <w:p>
      <w:r>
        <w:t>Zusammenfassend hat der Beschwerdeführer nichts vorgebracht, was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über das sri-lankische Konsulat in Genf würden die Behörden bei seiner Rückkehr nach Sri Lanka sofort Kenntnis über seine politische Vergangenheit und seine exilpolitische Tätigkeit in der Schweiz erhalten. Aufgrund seiner LTTE-Verbindungen und der bereits erfolgten Verfolgung bestehe bei den standardisierten Verhören der sri-lankischen Behörden, welchen er sich nicht entziehen könne, eine akute Gefahr für Leib und Leben. Sein Vater habe die Familie aufgrund seiner Neuverheiratung sehr früh verlassen und seine Mutter lebe mit einem Geschwister im Vanni-Gebiet. Ausserhalb des Vanni-Gebietes existiere kein soziales Netz und nur durch die finanziellen Zuwendungen von Verwandten ausserhalb Sri Lankas könne seine Familie überleben. Er würde somit bei einer Rückkehr eine zusätzliche finanzielle Belastung darstellen. Seine schwere psychische Traumatisierung stehe einer Erwerbstätigkeit entgegen. Durch seine Hauterkrankung würden viele Menschen den Kontakt mit ihm meiden. Er könne deshalb nicht auf soziale Kontakte ausserhalb seiner Familie zur Wiedereingliederung zurückgreifen. Bei einer Rückkehr ins Vanni-Gebiet wäre auch seine nötige medizinische Behandlung sowohl zufolge seiner schweren psychischen Erkrankung als auch seiner Hauterkrankung nicht gewährleistet.</w:t>
      </w:r>
    </w:p>
    <w:p>
      <w:r>
        <w:rPr>
          <w:b/>
        </w:rPr>
        <w:t>E. 13.3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Die Behauptung, er sei in der Schweiz exilpolitisch tätig und die sri-lankischen Behörden hätten davon Kenntnis, findet in den Akten keine Stütze. Anlässlich der Anhörungen verneinte der Beschwerdeführer explizit, exilpolitisch tätig zu sein. Auch in der Beschwerde wurden dazu keine näheren Ausführungen gemacht oder Beweismittel eingereicht. Der Vollzug der Wegweisung ist somit zulässig.</w:t>
      </w:r>
    </w:p>
    <w:p>
      <w:r>
        <w:rPr>
          <w:b/>
        </w:rPr>
        <w:t>E. 13.4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bis vor seiner Ausreise mit seiner Mutter in B._______, Bezirk Mullaitivu, Vanni-Gebiet. Zwei seiner Brüder leben ebenfalls in Mullaitivu; sein älterer Bruder arbeitet als (...) bei der Gemeinde und der andere als (...). Seine Schwester ist verheiratet und lebt mit ihrer Familie in Trincomalai. Tanten und Onkel leben ebenfalls im Bezirk Mullaitivu und in Vavuniya (vgl. A3 S. 5). Seine Mutter lebt alleine und wird von seinen Brüdern in Sri Lanka sowie vom Bruder in Australien unterstützt. Dazu verfügt die Familie über diverse Felder und generiere aus der Ernte ein Einkommen (vgl. A17 S. 6 f.). Der Beschwerdeführer ist jung und besuchte zehn Jahre lang die Schule. Vor seiner Ausreise arbeitete er als (...) und war Inhaber eines (...) (vgl. A17 S. 4). Zu seiner Familie und ein paar Kollegen steht er in regelmässigem Kontakt (vgl. A17 S. 6). Es ist davon auszugehen, dass sie ihn bei der Wiedereingliederung unterstützen und er eine neue Existenz wird aufbauen können. Auf Beschwerdeebene macht der Beschwerdeführer geltend, er leide an psychischen Problemen, hervorgerufen durch den Krieg und Folterungen in der Haft. Gemäss dem Arztbericht vom 9. April 2018 befindet er sich in der Schweiz seit Januar 2017 in psychiatrischer Behandlung. Er habe insbesondere unter den schrecklichen Bildern des Krieges gelitten und würde immer noch darunter leiden. Im Wesentlichen sei er psychisch gesund bis auf die Symptome einer PTBS. Gemäss seinen eigenen Aussagen benötigt der Beschwerdeführer keine Medikamente mehr und nimmt nur bei Bedarf eine Schlaftablette (vgl. A17 S. 18). Bereits in seiner Heimat befand er sich vom 7. bis 20. September 2011 in Behandlung, da er zu diesem Zeitpunkt etwas verwirrt gewesen sei. Er sei zuerst im Spital gewesen und dann nach Mullaitivu geschickt worden, wo er ambulant behandelt worden sei. Ab Anfang 2012 sei er nicht mehr zum Arzt gegangen (vgl. A17 S. 5). Es ist deshalb davon auszugehen, dass er sich erneut an einen Arzt in seiner Heimat wird wenden können, sollte er eine Behandlung benötigen. An seiner Hautkrankheit leidet er seit seiner Kindheit; seine behandelnden Ärzte stuften diese als nicht prekär ein. Medikamente benötigt er deswegen keine (vgl. A17 S. 17 f.). Die gesundheitliche Situation des Beschwerdeführers stellt demnach kein Wegweisungsvollzugshindernis dar.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15</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w:t>
      </w:r>
    </w:p>
    <w:p>
      <w:r>
        <w:rPr>
          <w:b/>
        </w:rPr>
        <w:t>E. 16</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