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E-3664/2015 vom 24. November 2015</w:t>
      </w:r>
    </w:p>
    <w:p>
      <w:r>
        <w:t>Bundesverwaltungsgericht, 2015-11-24, FR</w:t>
      </w:r>
    </w:p>
    <w:p>
      <w:r>
        <w:rPr>
          <w:b/>
        </w:rPr>
        <w:t xml:space="preserve">Quelle: </w:t>
      </w:r>
      <w:r>
        <w:t>https://mcp.opencaselaw.ch/entscheid/bvger_E-3664_2015</w:t>
      </w:r>
    </w:p>
    <w:p>
      <w:r>
        <w:t>FR: TAF E-3664/2015 du 24 novembre 2015</w:t>
      </w:r>
    </w:p>
    <w:p>
      <w:r>
        <w:t>IT: TAF E-3664/2015 del 24 novembre 2015</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Le SEM révoque l'asile si le réfugié a porté atteinte à la sécurité intérieure ou extérieure de la Suisse, s'il les compromet ou s'il a commis des actes délictueux particulièrement répréhensibles (art. 63 al. 2 LAsi).</w:t>
      </w:r>
    </w:p>
    <w:p>
      <w:r>
        <w:rPr>
          <w:b/>
        </w:rPr>
        <w:t>E. 2.2</w:t>
      </w:r>
    </w:p>
    <w:p>
      <w:r>
        <w:t>En l'espèce, l'atteinte à la sécurité de la Suisse ou sa compromission n'entre pas en considération ; seule est donc à trancher la question de savoir si des actes délictueux particulièrement répréhensibles ont été commis par le recourant. Dans ce contexte, les mesures d'instruction complémentaires évoquées par l'intéressé, telles que l'audition de ses proches, un rapport des progrès de son traitement et la description de son état de santé, n'apparaissent pas nécessaires, ne pouvant éclaircir la question topique à résoudre.</w:t>
      </w:r>
    </w:p>
    <w:p>
      <w:r>
        <w:rPr>
          <w:b/>
        </w:rPr>
        <w:t>E. 2.3</w:t>
      </w:r>
    </w:p>
    <w:p>
      <w:r>
        <w:t>Enfin, le Tribunal rappelle que la question de la délivrance, respectivement d'un renouvellement de l'autorisation d'établissement, sort du cadre du présent litige ; dès lors, les conclusions portant sur ce point sont irrecevables.</w:t>
      </w:r>
    </w:p>
    <w:p>
      <w:r>
        <w:rPr>
          <w:b/>
        </w:rPr>
        <w:t>E. 3.1</w:t>
      </w:r>
    </w:p>
    <w:p>
      <w:r>
        <w:t>Selon la jurisprudence (ATAF 2012/20 consid. 5 p. 406-408),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le comportement de l'auteur, ainsi que le temps écoulé depuis la commission des faits et l'éventuel amendement de l'intéressé. 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(cf. BO-E 1998, p. 533 et 671-672). Le critère d'abord proposé, à savoir la commission d'une infraction entraînant une condamnation à un an de détention au moins, a finalement été abandonné (cf. BO-E 1997, p. 1347-1348).</w:t>
      </w:r>
    </w:p>
    <w:p>
      <w:r>
        <w:rPr>
          <w:b/>
        </w:rPr>
        <w:t>E. 3.2</w:t>
      </w:r>
    </w:p>
    <w:p>
      <w:r>
        <w:t>Etant donné la comparaison à laquelle le Parlement a lui-même procédé entre la révocation de l'asile et l'indignité, il n'est donc pas inutile de rappeler la jurisprudence plusieurs fois confirmée (cf. ATAF 2011/29 consid. 9.2.2-9.2.3 p. 564-565 et les réf. citées),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(Jurisprudence et informations de la Commission suisse de recours en matière d'asile [JICRA] 1998 n° 28 p. 234ss) ; il peut même y avoir indignité avant qu'aucune condamnation n'ait été prononcée, pour autant, bien entendu, que la réalité des faits reprochés ne fasse pas de doute (JICRA 1996 n° 18 cons. 7d p. 179-181). En l'espèce, parmi les infractions commises par le recourant, le vol et le brigandage peuvent certes être techniquement qualifiés de crimes. Le brigandage, plus particulièrement, constitue une infraction d'une particulière gravité, passible d'une peine spécialement lourde, pouvant aller jusqu'à dix ans de privation de liberté (art. 140 CP). De plus, le fait que l'activité délictuelle se soit étendue sur une longue durée, les récidives multiples, le prononcé de plusieurs peines fermes avec révocation d'un sursis antérieur et l'incapacité manifeste de l'intéressé à prendre conscience, pendant plusieurs années, de la nécessité de s'amender, sont de nature à influencer, dans un sens négatif, l'appréciation de l'autorité. Les actes commis étant ainsi bien répréhensibles, ils auraient donc été de nature, le cas échéant, à rendre l'intéressé indigne de l'asile, au sens de l'art. 53 LAsi.</w:t>
      </w:r>
    </w:p>
    <w:p>
      <w:r>
        <w:rPr>
          <w:b/>
        </w:rPr>
        <w:t>E. 3.3</w:t>
      </w:r>
    </w:p>
    <w:p>
      <w:r>
        <w:t>Reste à résoudre la question du caractère particulièrement répréhensibles des agissements du recourant. Ici interviennent d'autres critères, de nature plus subjective. Le Tribunal doit constater la gravité du comportement de A._______, qui a commis au total une douzaine de vols et cinq brigandages. Comme l'a relevé le Tribunal correctionnel de B._______ dans son arrêt du 8 novembre 2013 (p. 18), "[sa] culpabilité est lourde", et il se trouve "ancré dans la délinquance". Les infractions commises sont nombreuses, étalées sur plusieurs années, et ont donné lieu à six condamnations en tout, dont deux fermes, une troisième devenue ferme à la suite de la révocation d'un sursis antérieur, et d'une durée relativement longue (11, 22 et 24 mois) ; en effet, le total des peines fermes infligées au recourant se monte à 57 mois, soit presque cinq ans. Dans ces conditions, il existe manifestement un intérêt public clairement prépondérant à ce que A._______ ne bénéficie plus du statut de l'asile, dont il n'apparaît pas digne. C'est en effet le lieu de rappeler que, contrairement à la reconnaissance du statut de réfugié, qui résulte de critères posés par le droit international, l'octroi de l'asile, au sens de l'art. 2 LAsi, est un acte de souveraineté librement décidé par la Suisse ; il confère à la personne intéressée un statut plus favorable, et la disposition de droits supplémentaires, qu'elle doit apparaître mériter par son comportement. La révocation de ce statut doit donc être admise, dans certains cas, à des conditions moins sévères que celle d'une autorisation de séjour ou d'établissement (ATAF 2012/20 consid. 6.2, p. 408-409).</w:t>
      </w:r>
    </w:p>
    <w:p>
      <w:r>
        <w:rPr>
          <w:b/>
        </w:rPr>
        <w:t>E. 3.4</w:t>
      </w:r>
    </w:p>
    <w:p>
      <w:r>
        <w:t>Le Tribunal estime enfin utile de rappeler que les arguments soulevés par le recourant, relatifs à sa bonne intégration en Suisse, son long séjour dans ce pays et sa rupture avec son pays d'origine, ne sont pas pertinents : en effet, seule est ici en suspens la question du statut de l'intéressé en Suisse ; même en cas de révocation de l'asile, il conservera sa qualité de réfugié, et ne sera pas appelé à quitter le territoire suisse (cf. à ce sujet ATAF 2012/20 consid. 6, p. 408-409).</w:t>
      </w:r>
    </w:p>
    <w:p>
      <w:r>
        <w:rPr>
          <w:b/>
        </w:rPr>
        <w:t>E. 3.5</w:t>
      </w:r>
    </w:p>
    <w:p>
      <w:r>
        <w:t>En conclusion, après la pesée des différents éléments du comportement du recourant qui peuvent être pris en compte dans le cadre de la présente procédure, le Tribunal admet donc qu'il s'est rendu coupable d'actes punissables particulièrement répréhensibles, au sens que le législateur, comme on l'a vu ci-dessus, a entendu donner à cette expression.</w:t>
      </w:r>
    </w:p>
    <w:p>
      <w:r>
        <w:rPr>
          <w:b/>
        </w:rPr>
        <w:t>E. 4</w:t>
      </w:r>
    </w:p>
    <w:p>
      <w:r>
        <w:t>Dès lors, au vu de ce qui précède, le recours doit être rejeté et la décision du SEM confirmée.</w:t>
      </w:r>
    </w:p>
    <w:p>
      <w:r>
        <w:rPr>
          <w:b/>
        </w:rPr>
        <w:t>E. 5.1</w:t>
      </w:r>
    </w:p>
    <w:p>
      <w:r>
        <w:t>Compte tenu de l'octroi de l'assistance judiciaire totale, il n'y a pas lieu de percevoir de frais (art. 65 al. 2 PA).</w:t>
      </w:r>
    </w:p>
    <w:p>
      <w:r>
        <w:rPr>
          <w:b/>
        </w:rPr>
        <w:t>E. 5.2</w:t>
      </w:r>
    </w:p>
    <w:p>
      <w:r>
        <w:t>Faute de décompte, en application de l'art. 14 al. 2 du règlement du 21 février 2008 concernant les frais, dépens et indemnités fixés par le Tribunal administratif fédéral (FITAF, RS 173.320.2), le Tribunal fixe l'indemnité du mandataire d'office sur la base du dossier.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 L'indemnité est dès lors arrêtée, à raison de quatre heures de travail au tarif horaire de 200 francs, à la somme globale de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