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E-3661/2022 vom 31. August 2022</w:t>
      </w:r>
    </w:p>
    <w:p>
      <w:r>
        <w:t>Bundesverwaltungsgericht, 2022-08-31, DE</w:t>
      </w:r>
    </w:p>
    <w:p>
      <w:r>
        <w:rPr>
          <w:b/>
        </w:rPr>
        <w:t xml:space="preserve">Quelle: </w:t>
      </w:r>
      <w:r>
        <w:t>https://mcp.opencaselaw.ch/entscheid/bvger_E-3661_2022</w:t>
      </w:r>
    </w:p>
    <w:p>
      <w:r>
        <w:t>FR: TAF E-3661/2022 du 31 août 2022</w:t>
      </w:r>
    </w:p>
    <w:p>
      <w:r>
        <w:t>IT: TAF E-3661/2022 del 31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26. Juni 2022 in Österreich ein Asylgesuch eingereicht hatte. Das SEM ersuchte deshalb die österreichischen Behörden am 26. Juli 2022 um Wiederaufnahme des Beschwerdeführers gestützt auf Art. 23 Dublin-III-VO. Die österreichischen Behörden stimmten dem Gesuch um Übernahme am 10. August 2022 zu. Der Beschwerdeführer bestreitet nicht, in Österreich ein Asylgesuch eingereicht zu haben, und auch die grundsätzliche Zuständigkeit dieses Mitgliedstaates blieb unbestritten. Die grundsätzliche Zuständigkeit Österreichs ist somit gegeben.</w:t>
      </w:r>
    </w:p>
    <w:p>
      <w:r>
        <w:rPr>
          <w:b/>
        </w:rPr>
        <w:t>E. 4.2</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 Österreich kommt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diesbezüglichen völkerrechtlichen Verpflichtungen nach und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Übrigen kann diesbezüglich zur Vermeidung von Wiederholungen auf die zutreffenden Erwägungen der Vorinstanz verwiesen werden (vgl. a.a.O. Ziff. II).</w:t>
      </w:r>
    </w:p>
    <w:p>
      <w:r>
        <w:rPr>
          <w:b/>
        </w:rPr>
        <w:t>E. 4.2.1</w:t>
      </w:r>
    </w:p>
    <w:p>
      <w:r>
        <w:t>Unter diesen Umständen ist die Anwendung von Art. 3 Abs. 2 Dublin-III-VO nicht gerechtfertigt.</w:t>
      </w:r>
    </w:p>
    <w:p>
      <w:r>
        <w:rPr>
          <w:b/>
        </w:rPr>
        <w:t>E. 4.3</w:t>
      </w:r>
    </w:p>
    <w:p>
      <w:r>
        <w:t>Die Einwände des Beschwerdeführers vermögen auch unter dem Blickwinkel humanitärer Gründe keine Zuständigkeit der Schweiz zu begründen.</w:t>
      </w:r>
    </w:p>
    <w:p>
      <w:r>
        <w:rPr>
          <w:b/>
        </w:rPr>
        <w:t>E. 4.3.1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4.3.2</w:t>
      </w:r>
    </w:p>
    <w:p>
      <w:r>
        <w:t>Die angefochtene Verfügung ist unter diesem Blickwinkel nicht zu beanstanden, zumal der Beschwerdeführer den überzeugenden Argumenten der Vorinstanz mit seiner knappen Beschwerdeeingabe nichts entgegenzusetzen vermag. Der Beschwerdeführer beruft sich darauf, sein Gesundheitszustand stehe einer Überstellung entgegen; diese würde ihn noch tiefer in die psychische Krise stürzen und er habe Angst, dass er sich bei einer zwangsweisen Rückführung nach Österreich letztlich das Leben nehmen würde. Damit macht der Beschwerdeführer (implizit) geltend, die Überstellung nach Österreich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Gemäss Arztbericht vom 3. August 2022 (vgl. SEM-act. 22) wurde bei ihm eine (...) (Klassifikation gemäss ICD-10: [...]) diagnostiziert. Das weitere Prozedere sah eine psychiatrische Betreuung durch das Ambulatorium C._______ sowie eine medikamentöse Behandlung mit (...), (...) und (...) sowie - als Reservemedikation - (...), (...), (...) und (...) vor. Im Rahmen des Notfallplans sei besprochen worden, dass eine Wiedervorstellung auf dem psychiatrischen Notfall bei einer akuten Exazerbation des psychischen Zustandsbildes jederzeit möglich sei. Am (...) August 2022 wurde er erneut an die B._______ überwiesen. Gemäss Zuweisungsschreiben (vgl. SEM-act. 25) war von akuter Suizidalität auszugehen, nachdem neben seinem Bett ein Frotteestrick und ein Messer aufgefunden worden seien. Ein aktuellerer Arztbericht liegt nicht vor. Sein Gesundheitszustand vermag eine Unzulässigkeit im Sinne der erwähnten restriktiven Rechtsprechung nicht zu rechtfertigen. Die gesundheitlichen Probleme sind auch nicht von einer derartigen Schwere, dass aus humanitären Gründen von einer Überstellung abgesehen werden müsste. Betreffend eine allfällige Suizidgefahr ist festzuhalten, dass gemäss bundesgerichtlicher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 Im Übrigen ist allgemein bekannt, dass Österreich über eine ausreichende und mit der Schweiz vergleichbare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Den Akten ist zu entnehmen, dass das SEM die österreichischen Behörden bereits über die spezifischen medizinischen Probleme des Beschwerdeführers in Kenntnis gesetzt hat und auch über inskünftig über allenfalls veränderte Umstände und Bedürfnisse des Beschwerdeführers in dieser Hinsicht informieren wird (vgl. Überstellungsmodalitäten in SEM-act. 26, Art. 31 f. Dublin-III-VO)</w:t>
      </w:r>
    </w:p>
    <w:p>
      <w:r>
        <w:rPr>
          <w:b/>
        </w:rPr>
        <w:t>E. 4.3.3</w:t>
      </w:r>
    </w:p>
    <w:p>
      <w:r>
        <w:t>Die angefochtene Verfügung ist unter dem Blickwinkel der Kann-Bestimmung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4.3.4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4.4</w:t>
      </w:r>
    </w:p>
    <w:p>
      <w:r>
        <w:t>Somit bleibt Österreich der für die Behandlung des Asylgesuchs des Beschwerdeführers zuständige Mitgliedstaat gemäss Dublin-III-VO. Österreich ist verpflichtet, das Asylverfahren gemäss Art. 23, 24, 25 und 29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6</w:t>
      </w:r>
    </w:p>
    <w:p>
      <w:r>
        <w:t>Nach dem Gesagten ist die Beschwerde abzuweisen und die Verfügung des SEM zu bestätigen. Eine Rückweisung der Sache an die Vorinstanz zur vollständigen Sachverhaltsabklärung gemäss dem Eventualbegehren ist nicht angezeigt, zumal der Beschwerdeführer auch nicht ausführt, inwiefern das SEM den Sachverhalt nicht vollständig abgeklärt hat und in der Beschwerde hinsichtlich des Sachverhalts und der Prozessgeschichte sogar explizit auf die Ausführungen der Vorinstanz verwies. Das Beschwerdeverfahren ist mit vorliegendem Urteil abgeschlossen, weshalb sich der Antrag auf Gewährung der aufschiebenden Wirkung sowie Anweisung an die Vollzugsbehörden, von jeglichen Vollzugshandlungen abzusehen, als gegenstandslos erweist.</w:t>
      </w:r>
    </w:p>
    <w:p>
      <w:r>
        <w:rPr>
          <w:b/>
        </w:rPr>
        <w:t>E. 7</w:t>
      </w:r>
    </w:p>
    <w:p>
      <w:r>
        <w:t>Aufgrund obiger Erwägungen ist die eingereichte Beschwerde von vornherein als aussichtslos zu erachten, weshalb das Gesuch um Gewährung der unentgeltlichen Prozessführung nach Art. 65 Abs. 1 VwVG unbesehen der allfälligen Mittellosigkeit abzuweisen ist. Dementsprechend ist auch das Gesuch um unentgeltliche Rechtsverbeiständung abzuweisen. Mit dem vorliegenden Direktentscheid ist das Gesuch um Verzicht auf die Erhebung eines Kostenvorschusses gegenstandslos geworden.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Der am 25. August 2022 angeordnete superprovisorische Vollzugsstopp fällt mit vorliegendem Urteil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