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E-3661/2013 vom 22. Januar 2014</w:t>
      </w:r>
    </w:p>
    <w:p>
      <w:r>
        <w:t>Bundesverwaltungsgericht, 2014-01-22, DE</w:t>
      </w:r>
    </w:p>
    <w:p>
      <w:r>
        <w:rPr>
          <w:b/>
        </w:rPr>
        <w:t xml:space="preserve">Quelle: </w:t>
      </w:r>
      <w:r>
        <w:t>https://mcp.opencaselaw.ch/entscheid/bvger_E-3661_2013</w:t>
      </w:r>
    </w:p>
    <w:p>
      <w:r>
        <w:t>FR: TAF E-3661/2013 du 22 janvier 2014</w:t>
      </w:r>
    </w:p>
    <w:p>
      <w:r>
        <w:t>IT: TAF E-3661/2013 del 22 gennaio 2014</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Verwaltungsverfahrensgesetzes vom 20. Dezember 1968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und unvollständige Feststellung des rechtserheblichen Sachverhalts und Unangemessenheit hin (Art. 106 Abs. 1 AsylG).</w:t>
      </w:r>
    </w:p>
    <w:p>
      <w:r>
        <w:rPr>
          <w:b/>
        </w:rPr>
        <w:t>E. 2.2</w:t>
      </w:r>
    </w:p>
    <w:p>
      <w:r>
        <w:t>Die Begründung der Begehren bindet die Beschwerdeinstanz in keinem Fall (Art. 62 Abs. 4 VwVG). Diese kann die Beschwerde auch aus anderen als den geltend gemachten Gründen gutheissen oder den angefochtenen Entscheid im Ergebnis mit einer Begründung bestätigen, die von derjenigen der Vorinstanz abweicht (vgl. BVGE 2007/41 E. 2 S. 529 f.).</w:t>
      </w:r>
    </w:p>
    <w:p>
      <w:r>
        <w:rPr>
          <w:b/>
        </w:rPr>
        <w:t>E. 2.3</w:t>
      </w:r>
    </w:p>
    <w:p>
      <w:r>
        <w:t>Die Beschwerde ist im Verfahren einzelrichterlicher Zuständigkeit mit Zustimmung eines zweiten Richters beziehungsweise einer zweiten Richterin zu behandeln, weil sie sich im Ergeb­nis als offensichtlich begründet erweist (Art. 111 Bst. e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alle Verfahren (auch solche im Vollzugsstadium) in Wiedererwägung, dies unbesehen der konkreten Umstände im Einzelfall. Das vorinstanzliche Vorgehen geht auf zwei bekannt gewordene Vorfälle zurück: Die sri-lankischen Behörden hatten offenbar tamilische Rückkehrer bei der Wiedereinreise in Haft genommen. Daraufhin stellte das BFM in Aussicht, nicht nur diese beiden Vorfälle, sondern auch eine allfällige Veränderung der allgemeinen Situation in Sri Lanka vertieft abzuklären. Das Bundesamt geht damit selbst davon aus, dass der Sachverhalt, wie er der angefochtenen Verfügung vom 24. Mai 2013 2013 zugrunde liegt, offensichtlich nicht vollständig festgestellt ist. Es besteht kein Zweifel, dass eine neue Lagebeurteilung vor Ort sich auf die konkrete Feststellung des rechtserheblichen Sachverhalts auswirken kann, sei es im Flüchtlings- und Asylpunkt, sei es im Wegweisungsvollzugspunkt (vgl. zu den Risikogruppen BVGE 2011/24 E. 8).</w:t>
      </w:r>
    </w:p>
    <w:p>
      <w:r>
        <w:rPr>
          <w:b/>
        </w:rPr>
        <w:t>E. 3.2</w:t>
      </w:r>
    </w:p>
    <w:p>
      <w:r>
        <w:t>Gemäss Art. 61 Abs. 1 VwVG entscheidet das Bundesverwaltungsgericht in der Sache selbst oder weist diese ausnahmsweise mit verbindlichen Weisungen an die Vorinstanz zurück. Eine Kassation und Rückweisung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tun (vgl. BVGE 2012/21 E. 5). In casu liegt der Mangel in einer unvollständigen Sachverhaltsfeststellung, wobei die unterbliebenen notwendigen Abklärungen eine relativ auf­wändige und umfangreiche Beweiserhebung darstellen, weshalb sich eine Kassation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dieser Sachlage zum heutigen Zeit­punkt nicht einzugehen.</w:t>
      </w:r>
    </w:p>
    <w:p>
      <w:r>
        <w:rPr>
          <w:b/>
        </w:rPr>
        <w:t>E. 4.1</w:t>
      </w:r>
    </w:p>
    <w:p>
      <w:r>
        <w:t>Bei diesem Ausgang des Verfahrens fallen keine Verfahrenskosten an.</w:t>
      </w:r>
    </w:p>
    <w:p>
      <w:r>
        <w:rPr>
          <w:b/>
        </w:rPr>
        <w:t>E. 4.2</w:t>
      </w:r>
    </w:p>
    <w:p>
      <w:r>
        <w:t>Der Rechtsvertreter hat zwar keine Kostennote eingereicht, doch lässt sich der Aufwand zuverlässig abschätzen. Unter Berücksichtigung der massgebenden Bemessungsfaktoren (Art. 9-13 des Reglements vom 21. Februar 2008 über die Kosten und Entschädigungen vor dem Bundesverwaltungsgericht [VGKE, SR 173.320.2]) hat das BFM dem Beschwerdeführer eine Parteientschädigung in der Höhe von Fr. 600.- (inkl. Auslagen und Mehrwertsteueranteil)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