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E-3657/2020 vom 9. September 2021</w:t>
      </w:r>
    </w:p>
    <w:p>
      <w:r>
        <w:t>Bundesverwaltungsgericht, 2021-09-09, FR</w:t>
      </w:r>
    </w:p>
    <w:p>
      <w:r>
        <w:rPr>
          <w:b/>
        </w:rPr>
        <w:t xml:space="preserve">Quelle: </w:t>
      </w:r>
      <w:r>
        <w:t>https://mcp.opencaselaw.ch/entscheid/bvger_E-3657_2020</w:t>
      </w:r>
    </w:p>
    <w:p>
      <w:r>
        <w:t>FR: TAF E-3657/2020 du 9 septembre 2021</w:t>
      </w:r>
    </w:p>
    <w:p>
      <w:r>
        <w:t>IT: TAF E-3657/2020 del 9 settembre 2021</w:t>
      </w:r>
    </w:p>
    <w:p>
      <w:pPr>
        <w:pStyle w:val="Heading2"/>
      </w:pPr>
      <w:r>
        <w:t>Regeste</w:t>
      </w:r>
    </w:p>
    <w:p>
      <w:r>
        <w:t>Asile et renvoi (demande multiple/réexamen)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(art. 52 al. 1 PA) et dans le délai (art. 108 al. 6 LAsi) prescrits par la loi, le recours est recevable.</w:t>
      </w:r>
    </w:p>
    <w:p>
      <w:r>
        <w:rPr>
          <w:b/>
        </w:rPr>
        <w:t>E. 2</w:t>
      </w:r>
    </w:p>
    <w:p>
      <w:r>
        <w:t>Dans la décision attaquée, le SEM a qualifié la demande du recourant du 14 janvier 2020 de demande d'asile multiple. Cette qualification est correcte. En effet, selon la jurisprudence du Tribunal (cf. ATAF 2014/39 consid. 4.5), une demande visant à la constatation de la qualité de réfugié, présentée par un étranger qui, avant l'échéance du délai de cinq ans, a déjà fait l'objet d'une procédure d'asile en Suisse, laquelle s'est terminée par une décision négative entrée en force, et qui allègue des faits nouveaux (postérieurs à la clôture de la procédure précédente) doit en principe être traitée comme une nouvelle demande d'asile au sens de l'art. 111c LAsi, dans sa teneur alors en vigueur.</w:t>
      </w:r>
    </w:p>
    <w:p>
      <w:r>
        <w:rPr>
          <w:b/>
        </w:rPr>
        <w:t>E. 3.1</w:t>
      </w:r>
    </w:p>
    <w:p>
      <w:r>
        <w:t>Sont des réfugiés les personnes qui, dans leur Etat d'origine ou dans le pays de leur dernière résidence, sont exposées à de sérieux préjudices ou craignent à juste pièce de l'être en raison de leur race, de leur religion, de leur nationalité, de leur appartenance à un groupe social déterminé ou de leurs opinions politiques (art. 3 al. 1 LAsi ; cf. également ATAF 2007/31 consid. 5.2 à 5.6).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dernière disposition.</w:t>
      </w:r>
    </w:p>
    <w:p>
      <w:r>
        <w:rPr>
          <w:b/>
        </w:rPr>
        <w:t>E. 3.3</w:t>
      </w:r>
    </w:p>
    <w:p>
      <w:r>
        <w:t>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OSAR, Handbuch zum Asyl- und Wegweisungsverfahren, 3ème éd., 2021, p. 246 s.).</w:t>
      </w:r>
    </w:p>
    <w:p>
      <w:r>
        <w:rPr>
          <w:b/>
        </w:rPr>
        <w:t>E. 3.4.1</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 du Tribunal D-1465/2018 du 1er février 2019 consid. 6.5).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rPr>
          <w:b/>
        </w:rPr>
        <w:t>E. 3.4.2</w:t>
      </w:r>
    </w:p>
    <w:p>
      <w:r>
        <w:t>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du 23 mars 2016 dans l'affaire F.G. c. Suède, Grande Chambre, requête n° 43611/11, § 129 ss, spécialement § 141 ; voir aussi l'arrêt du Tribunal E- 2411/2016 du 28 octobre 2016, consid. 4.3). Le Tribunal a retenu que toutes les personnes agissant en tant qu'activistes sur les réseaux sociaux et identifiables en tant que telles n'étaient pas forcément menacées en cas de retour en Iran, insistant ici aussi sur le caractère qualitatif de cet activisme (cf. arrêt du Tribunal E-3473/2017 du 18 février 2020 consid. 6.4).</w:t>
      </w:r>
    </w:p>
    <w:p>
      <w:r>
        <w:rPr>
          <w:b/>
        </w:rPr>
        <w:t>E. 4.1</w:t>
      </w:r>
    </w:p>
    <w:p>
      <w:r>
        <w:t>En l'espèce, le SEM a considéré que les activités déployées par le recourant ne suffisaient pas à établir un risque de persécution en cas de retour en Iran et qu'il n'avait pas le profil d'une personne susceptible d'intéresser les autorités iraniennes. Ses activités pour le compte de l'association VVMIran ainsi que ses quelques apparitions sur Internet seraient peu significatives et nullement susceptibles d'accroître l'influence de ladite association au sein du mouvement politique iranien en exil. S'agissant des articles parus dans le magazine "(...)", sous son propre nom, ils traiteraient uniquement de problématiques générales non spécifiques à l'Iran (p. ex. [...], etc.), rapporteraient des faits sans aucune prise de position personnelle ou émettraient des critiques d'ordre structurel ou général. Aucun de ses articles ne serait réellement subversif ni ne se distinguerait par une "analyse critique personnelle, fine et spécifique". Ses apparitions publiques lors de manifestations ne lui conféreraient pas non plus un profil particulier, celles-ci ne différant pas de celles de nombreux iraniens en exil. Il en irait de même de ses activités sur les réseaux sociaux ainsi que de son blog, qui ne serait du reste pas suivi par un nombre très important de personnes. Quant aux rapports de l'OSAR, le jugement allemand, l'avis de droit ou les articles de presse produits, ils ne se rapporteraient pas directement à sa situation personnelle. Le SEM a enfin souligné que le recourant, dans le cadre de ses demandes d'asile précédentes, n'avait pas rendu vraisemblable un quelconque engagement politique avant son départ du pays.</w:t>
      </w:r>
    </w:p>
    <w:p>
      <w:r>
        <w:rPr>
          <w:b/>
        </w:rPr>
        <w:t>E. 4.2</w:t>
      </w:r>
    </w:p>
    <w:p>
      <w:r>
        <w:t>Dans son recours, l'intéressé conteste l'argumentation présentée par le SEM, estimant comme hautement vraisemblable le fait que son identité ainsi que ses nombreuses activités en Suisse soient connues des autorités iraniennes. D'une part, il serait de notoriété publique que les activités ainsi que les membres de l'association VVMIran sont surveillés par les autorités iraniennes et, d'autre part, étant déjà connu de celles-ci avant son départ d'Iran, il serait facilement identifiable. En effet, il apparaîtrait non seulement sur plusieurs vidéos sur YouTube prises lors de manifestations, mais également sur des photographies disponibles sur le site Internet de l'association. De plus, des articles, signés de son propre nom, dénonçant la violation des droits humains par les autorités iraniennes et critiques envers le régime paraîtraient mensuellement dans le périodique de l'association. Le contenu de ses activités sur les réseaux sociaux serait également très critique, tout comme son blog dont certaines publications auraient engendré des commentaires de mécontentement.</w:t>
      </w:r>
    </w:p>
    <w:p>
      <w:r>
        <w:rPr>
          <w:b/>
        </w:rPr>
        <w:t>E. 5.1</w:t>
      </w:r>
    </w:p>
    <w:p>
      <w:r>
        <w:t>Force est d'abord de rappeler que, dans le cadre de ses précédentes procédures, les déclarations du recourant sur ses motifs d'asile et ses activités politiques avant son départ du pays n'ont pas été considérées comme vraisemblables. L'intéressé n'a pas rendu crédible qu'il avait exercé des activités pour une organisation anti-régime à B._______ ni qu'il avait oeuvré comme espion pour les autorités de son pays (cf. let. A et B supra). L'allégué selon lequel l'intéressé aurait été connu des autorités iraniennes comme opposant politique avant son arrivée en Suisse doit dès lors d'emblée être écarté.</w:t>
      </w:r>
    </w:p>
    <w:p>
      <w:r>
        <w:rPr>
          <w:b/>
        </w:rPr>
        <w:t>E. 5.2</w:t>
      </w:r>
    </w:p>
    <w:p>
      <w:r>
        <w:t>Ensuite, le Tribunal constate, à l'instar du SEM, qu'il ne peut être retenu que les activités, certes nombreuses, déployées en Suisse par le recourant, sont susceptibles d'attirer l'attention des autorités iraniennes sur lui de manière déterminante au regard de l'art. 54 LAsi.</w:t>
      </w:r>
    </w:p>
    <w:p>
      <w:r>
        <w:rPr>
          <w:b/>
        </w:rPr>
        <w:t>E. 5.2.1</w:t>
      </w:r>
    </w:p>
    <w:p>
      <w:r>
        <w:t>Ainsi, les documents produits ne permettent pas de retenir que le recourant assumerait une fonction dirigeante ou d'instigateur au sein de la représentation suisse de l'association VVMIran, ni qu'il entrerait dans une catégorie de personnes susceptibles de représenter un danger potentiel pour le régime iranien. Sa fonction de "(...)", laquelle consiste à "traiter les demandes de renseignements de la diaspora iranienne", les fonctions techniques qu'il assume ("[...]") lors de réunions sur "(...)" (logiciel de chat vidéo sur Internet) ainsi que la gestion des commandes du magazine de l'association ne sauraient en effet être considérées comme de premier plan, celles-ci consistant en des tâches essentiellement administratives (cf. pièces n°5, 9 et 10). Les attestations produites dans ce cadre tendent à appuyer cette appréciation, dans la mesure où le recourant y est singulièrement décrit comme "membre très actif" dont les "manuscrits politiques seraient [sont] très utiles" (cf. attestations des 5 août 2019 et 11 mai 2020 ainsi que pièce n°2). Il est en outre peu probable que l'intéressé ait attiré l'attention des autorités de son pays, au point d'apparaître comme un dangereux opposant, en raison des articles et rapports qu'il rédige et publie, sous son propre nom, dans le magazine de l'association (cf. pièces n° 11 à 14). En effet, comme l'a examiné le SEM de manière détaillée dans la décision entreprise, le contenu de ces articles n'est pas de nature à le désigner comme une menace sérieuse, dans la mesure où ils ne contiennent que des critiques d'ordre structurel ou général contre le régime iranien et ne se distinguent pas par des prises de position personnelles particulièrement subversives. Il en va de même des divers rapports et statistiques établis par l'intéressé, ceux-ci se résumant principalement à une compilation d'informations tirées d'extraits de médias nationaux et étrangers (cf. notamment pièce n° 15). Dans ces conditions, même s'il ressort de la consultation du site de l'association que le recourant est visible sur plusieurs photographies, le montrant une pancarte à la main à l'occasion d'une réunion de l'association, et que son nom y est mentionné à plusieurs reprises, il n'existe au dossier aucun indice concret permettant de retenir que les autorités iraniennes seraient particulièrement intéressées par les activités qu'il exerce au sein de VVMIran.</w:t>
      </w:r>
    </w:p>
    <w:p>
      <w:r>
        <w:rPr>
          <w:b/>
        </w:rPr>
        <w:t>E. 5.2.2</w:t>
      </w:r>
    </w:p>
    <w:p>
      <w:r>
        <w:t>Il ne ressort pas non plus des photographies produites, accessibles sur Internet (notamment sur son profil public Facebook), que le recourant aurait eu un comportement susceptible d'attirer de manière particulièrement défavorable l'attention des autorités de son pays lors des manifestations auxquelles il a participé. Il n'a en particulier pas invoqué avoir contribué à l'organisation de ces événements, ni y avoir tenu un rôle de leader. Quant aux extraits vidéos diffusés sur des chaînes de télévision ainsi que sur Youtube, le recourant ne s'y distingue pas des autres participants tenant comme lui des banderoles ou des pancartes (cf. contenu de la clé USB déposée devant le SEM et pièce n° 7).</w:t>
      </w:r>
    </w:p>
    <w:p>
      <w:r>
        <w:rPr>
          <w:b/>
        </w:rPr>
        <w:t>E. 5.2.3</w:t>
      </w:r>
    </w:p>
    <w:p>
      <w:r>
        <w:t>Il en va de même de ses activités sur les réseaux sociaux ainsi que de la tenue de son blog (cf. pièces n°4 et 6). En effet, celui-ci "(...)" n'a suscité qu'un nombre extrêmement restreint de visites, à savoir 73 depuis sa création en mars 2019 (état en juillet 2021), rien n'établissant au demeurant que l'une d'entre elles soit le fait des autorités iraniennes. Par ailleurs, seules quatre de ses publications sur plus de 400 disponibles lors de la consultation par le Tribunal, en juillet 2021, ont fait l'objet de commentaires, ce qui démontre le peu d'intérêt qu'elles suscitent. De même, peu de gens sont abonnés à ses comptes Instagram et Facebook (155 abonnés sur Instagram et 22 sur 271 de ses amis Facebook ; état en juillet 2021) et ses publications n'occasionnent qu'un nombre restreint de commentaires et de "vu". A cela s'ajoute que le recourant n'y publie presque que des informations à contenu oppositionnel déjà disponibles sur d'autres supports. Or de telles actions essentiellement médiates, qui consistent à relayer à un cercle de personnes des informations établies principalement par des tiers ne sauraient en principe être perçues par le régime iranien comme étant une menace sérieuse (cf. arrêt du Tribunal E-37/2015 du 30 juin 2017 consid. 4.3.2.1).</w:t>
      </w:r>
    </w:p>
    <w:p>
      <w:r>
        <w:rPr>
          <w:b/>
        </w:rPr>
        <w:t>E. 5.2.4</w:t>
      </w:r>
    </w:p>
    <w:p>
      <w:r>
        <w:t>Enfin, en ce qui concerne les rapports de l'OSAR, le jugement allemand de l'Oberverwaltungsgericht de Brème, l'avis de droit de l'Université Friedrich-Alexander ainsi que les articles de journaux des 29 novembre 2018 et 12 décembre 2020 (cf. pièce n°20), ils ne sauraient, eux non plus, modifier l'appréciation du Tribunal, dans la mesure où ils concernent des tierces personnes et font état pour l'essentiel de contenus généraux et abstraits, dont rien n'indique qu'ils s'appliqueraient directement à la situation individuelle et concrète du recourant. Quant à la lettre du 7 décembre 2020 (cf. pièce n°19), dans laquelle l'ancien Président Abol-Hassan Bani Sadr certifie que le recourant a dû fuir son pays, car il y exerçait des activités politiques et dénonçait les pratiques non démocratiques du régime iranien dans ses articles publiés "dans plusieurs journaux et weblogs", son contenu ne corrobore pas les déclarations de l'intéressé, qui n'a jamais invoqué avoir été contraint de quitter l'Iran pour ces motifs. Aucune valeur probante ne saurait donc être accordée à ce document.</w:t>
      </w:r>
    </w:p>
    <w:p>
      <w:r>
        <w:rPr>
          <w:b/>
        </w:rPr>
        <w:t>E. 5.2.5</w:t>
      </w:r>
    </w:p>
    <w:p>
      <w:r>
        <w:t>Dans ces circonstances, il n'y a pas de raison concrète et sérieuse de considérer que les activités déployées par le recourant en Suisse sont arrivées à la connaissance des autorités iraniennes ni surtout qu'elles sont perçues par celles-ci comme étant de nature à mettre en danger le gouvernement en place.</w:t>
      </w:r>
    </w:p>
    <w:p>
      <w:r>
        <w:rPr>
          <w:b/>
        </w:rPr>
        <w:t>E. 5.3</w:t>
      </w:r>
    </w:p>
    <w:p>
      <w:r>
        <w:t>Il s'ensuit que le recours, en tant qu'il conteste le refus de reconnaissance de la qualité de réfugié pour des motifs subjectifs postérieurs à la fuite, doit être rejeté.</w:t>
      </w:r>
    </w:p>
    <w:p>
      <w:r>
        <w:rPr>
          <w:b/>
        </w:rPr>
        <w:t>E. 6</w:t>
      </w:r>
    </w:p>
    <w:p>
      <w:r>
        <w:t>Lorsqu'il rejette la demande d'asile ou qu'il refuse d'entrer en matière à ce sujet, le SEM prononce, en règle générale, le renvoi de Suisse et en ordonne l'exécution (art. 44 LAsi). Aucune exception à la règle générale du renvoi n'étant en l'occurrence réalisée (cf. art. 32 al. 1 OA1), le Tribunal est tenu, de par la loi, de confirmer cette mesure. La décision rendue par le SEM quant au renvoi est ainsi confirmée.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En l'espèce, les questions liées à l'exécution du renvoi de l'intéressé ont été examinées tant par le SEM, dans ses décisions des 10 mars 2008, 29 octobre 2014 et 17 juin 2020, que par le Tribunal dans son arrêt E-7009/2014 du 23 mars 2016. En l'absence de tout élément nouveau de nature à conduire au réexamen de ces questions et au vu des considérants qui précèdent, l'exécution du renvoi doit être considérée comme étant toujours licite, raisonnablement exigible et possible, au sens des considérants de l'arrêt précité, auquel il est renvoyé.</w:t>
      </w:r>
    </w:p>
    <w:p>
      <w:r>
        <w:rPr>
          <w:b/>
        </w:rPr>
        <w:t>E. 8.2</w:t>
      </w:r>
    </w:p>
    <w:p>
      <w:r>
        <w:t>Partant, le recours, en tant qu'il porte sur le renvoi et son exécution, doit également être rejeté.</w:t>
      </w:r>
    </w:p>
    <w:p>
      <w:r>
        <w:rPr>
          <w:b/>
        </w:rPr>
        <w:t>E. 9</w:t>
      </w:r>
    </w:p>
    <w:p>
      <w:r>
        <w:t>Compte tenu de l'issue de la cause, il y a lieu de mettre les frais de procédure à la charge du recourant (art. 63 al. 1 PA et art. 2 et 3 let. b du règlement du 21 février 2008 concernant les frais, dépens et indemnités fixés par le Tribunal administratif fédéral [FITAF, RS 173.320.2]). Ceux-ci sont entièrement couverts par l'avance de frais versée le 4 août 2020.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