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E-3654/2012 vom 20. Juli 2012</w:t>
      </w:r>
    </w:p>
    <w:p>
      <w:r>
        <w:t>Bundesverwaltungsgericht, 2012-07-20, DE</w:t>
      </w:r>
    </w:p>
    <w:p>
      <w:r>
        <w:rPr>
          <w:b/>
        </w:rPr>
        <w:t xml:space="preserve">Quelle: </w:t>
      </w:r>
      <w:r>
        <w:t>https://mcp.opencaselaw.ch/entscheid/bvger_E-3654_2012</w:t>
      </w:r>
    </w:p>
    <w:p>
      <w:r>
        <w:t>FR: TAF E-3654/2012 du 20 juillet 2012</w:t>
      </w:r>
    </w:p>
    <w:p>
      <w:r>
        <w:t>IT: TAF E-3654/2012 del 20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AsylG gewährt die Schweiz Flüchtlingen auf Gesuch hin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AsylG). Die Flüchtlingseigenschaft muss nachweisen oder zumindest glaubhaft machen, wer um Asyl nachsucht (Art. 7 AsylG).</w:t>
      </w:r>
    </w:p>
    <w:p>
      <w:r>
        <w:rPr>
          <w:b/>
        </w:rPr>
        <w:t>E. 3.2</w:t>
      </w:r>
    </w:p>
    <w:p>
      <w:r>
        <w:t>Die Vorinstanz hat in ihrer Verfügung einlässlich begründet, weshalb die Vorbringen des Beschwerdeführers nicht flüchtlingsrelevant sind und er weder in Italien noch in seinem Heimatstaat verfolgt wird. Der Beschwerdeführer zeigt nicht auf, inwiefern die angefochtene Verfügung Bundesrecht verletzen oder auf einer fehlerhaften Sachverhaltsfeststellung beruhen soll. Solches ist auch nicht ersichtlich. Nach seinen Angaben hatte er familiäre Probleme mit seinem Onkel, verliess 1990 sein Heimatland und lebte in Italien, wo er eine Arbeitsverletzung erlitt und nicht mehr erwerbstätig sein konnte; daraufhin reiste er illegal in die Schweiz ein, weil Italien ihm keine Entschädigung bezahlen wollte. Der Beschwerdeführer hat damit nichts vorgebracht, was geeignet wäre, die Flüchtlingseigenschaft nachzuweisen oder zumindest glaubhaft zu machen. Die Vorinstanz hat das Asylgesuch zu Recht abgelehnt.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Das Bundesamt hat die Wegweisung zu Recht angeordnet.</w:t>
      </w:r>
    </w:p>
    <w:p>
      <w:r>
        <w:rPr>
          <w:b/>
        </w:rPr>
        <w:t>E. 5.1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5.2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den Heimatstaat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im Heimat- oder Herkunftsstaat auf Grund von Situationen wie Krieg, Bürgerkrieg, allgemeiner Gewalt und medizinischer Notlage konkret gefährdet ist. In Ägypten herrscht keine Situation allgemeiner Gewalt, weshalb in konstanter Praxis von der generellen Zumutbarkeit des Wegweisungsvollzugs dorthin ausgegangen wird (vgl. statt vieler Urteil des Bundesverwaltungsgerichts D-2117/2012 vom 26. April 2012). Die vom Beschwerdeführer geltend gemachten gesundheitlichen Probleme (Rückenprobleme) sind gemäss den eingereichten Arztzeugnissen nicht besonders schwer und lassen sich überall medikamentös behandeln. Weiter macht er geltend, seit einem Arbeitsunfall im Jahre 2003 teilweise erwerbsunfähig zu sein und bisher keine Rente in Italien erhalten zu haben. Betreffend die Erhebung seines Rentenanspruchs muss er sich an die italienischen Behörden wenden. Indessen ist festzustellen, dass er seither offenbar dennoch in der Lage war, seinen Lebensunterhalt selbstständig zu bestreiten. Im Übrigen leben noch ein Bruder und eine Schwester im Heimatland, zu welchen er regelmässig Kontakt hat und die ihn bei der Rückkehr in das Heimatland unterstützen können. Der Vollzug der Wegweisung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und auch sonst nicht zu beanstanden ist (vgl. Art. 106 AsylG). Die Beschwerde ist abzuweisen.</w:t>
      </w:r>
    </w:p>
    <w:p>
      <w:r>
        <w:rPr>
          <w:b/>
        </w:rPr>
        <w:t>E. 7</w:t>
      </w:r>
    </w:p>
    <w:p>
      <w:r>
        <w:t>Dem Ersuchen des Beschwerdeführers um Gewährung der unentgeltlichen Rechtspflege und um Bestellung eines Anwaltes kann nicht entsprochen werden, weil sein Begehren als aussichtslos zu gelten hat (Art. 65 Abs. 1 und Abs. 2 VwVG).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