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E-3651/2011 vom 11. Oktober 2011</w:t>
      </w:r>
    </w:p>
    <w:p>
      <w:r>
        <w:t>Bundesverwaltungsgericht, 2011-10-11, FR</w:t>
      </w:r>
    </w:p>
    <w:p>
      <w:r>
        <w:rPr>
          <w:b/>
        </w:rPr>
        <w:t xml:space="preserve">Quelle: </w:t>
      </w:r>
      <w:r>
        <w:t>https://mcp.opencaselaw.ch/entscheid/bvger_E-3651_2011</w:t>
      </w:r>
    </w:p>
    <w:p>
      <w:r>
        <w:t>FR: TAF E-3651/2011 du 11 octobre 2011</w:t>
      </w:r>
    </w:p>
    <w:p>
      <w:r>
        <w:t>IT: TAF E-3651/2011 del 11 ottobre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le renvoi de l'art. 105 de la loi du 26 juin 1998 sur l'asile (LAsi, RS 142.31), le Tribunal administratif fédéral (ci-après,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33 let. d LTAF. Elle n'entrent pas dans le champ d'exclusion de l'art. 32 LTAF. Le Tribunal statue définitivement sur de telles causes, sauf demande d'extradition déposée par l'Etat dont le requérant cherche à se protéger (art. 83 let. d ch. 1 de la loi du 17 juin 2005 sur le Tribunal fédéral [LTF, RS 173.110]). Le Tribunal est donc compétent pour connaître de la présente cause et statue définitivement.</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a considéré que les allégués du recourant relatifs aux raisons pour lesquelles il aurait quitté son pays d'origine ne satisfaisaient pas aux conditions de vraisemblance fixées par la loi.</w:t>
      </w:r>
    </w:p>
    <w:p>
      <w:r>
        <w:rPr>
          <w:b/>
        </w:rPr>
        <w:t>E. 3.1.1</w:t>
      </w:r>
    </w:p>
    <w:p>
      <w:r>
        <w:t>L'ODM a tout d'abord considéré qu'il y avait une incohérence certaine entre les déclarations du recourant, selon lesquelles il aurait été profondément amoureux de son amie et prêt à se convertir comme à affronter sa famille pour elle, et le fait qu'il n'aurait plus cherché à la joindre après son départ de la maison paternelle. Force est tout d'abord de constater que les déclarations du recourant à ce sujet ne sont pas constantes. Lors de son audition au CEP, il a déclaré avoir téléphoné à son amie après s'être réfugié chez son oncle maternel, pour l'informer de son intention de quitter le pays. Il a ajouté qu'elle "n'avait pas d'avis sur le sujet". En revanche, il a lors de l'audition sur ses motifs affirmé n'avoir pas téléphoné à son amie après sa fuite de la maison paternelle (pv de l'audition du 30 mai 2011 Q. 76ss) et soutenu, pour expliquer cette divergence avec ses premières déclarations, qu'il s'agissait d'une erreur de l'interprète (cf. ibid. Q. 105). Cependant, au CEP, le recourant a répondu à deux questions précises à ce sujet, et on ne voit pas comment une erreur de traduction aurait provoqué une incompréhension sur ces points. Lors de l'audition du 30 mai 2011, le recourant a précisé qu'il n'avait plus été en mesure de prendre contact avec son amie, parce qu'il ne se souvenait plus de son numéro de téléphone, et qu'il avait "oublié" chez lui, dans la précipitation de sa fuite, son téléphone portable, sur lequel le numéro était enregistré (cf. ibid. Q. 78). Une telle réponse apparaît comme controuvée. Dès lors qu'il aurait fui directement depuis la cave où il aurait était enfermé par sa famille, il aurait en effet logiquement dû répondre à cette question qu'il n'avait pas son téléphone sur lui, et non qu'il l'avait oublié. Par ailleurs et surtout, le recourant a déclaré avoir, durant deux ans, parlé chaque jour au téléphone avec son amie et savait où elle habitait. S'il ne se souvenait pas de son numéro, il devait pour le moins connaître les noms de personnes qu'elle côtoyait, ainsi que son adresse, de sorte qu'il aurait pu tenter de lui faire parvenir un message, en particulier pendant la période où il est resté chez l'ami de son oncle, ou de retrouver d'une manière quelconque son numéro de portable ou de lui écrire. Or, il affirme avoir seulement tenté de retrouver son nom sur Facebook après son arrivée en Suisse (cf. ibid. Q. 86-87). Cette attitude n'est, comme l'a relevé l'ODM, pas compatible avec celle d'une personne prête à tous les sacrifices pour vivre avec son amie.</w:t>
      </w:r>
    </w:p>
    <w:p>
      <w:r>
        <w:rPr>
          <w:b/>
        </w:rPr>
        <w:t>E. 3.1.2</w:t>
      </w:r>
    </w:p>
    <w:p>
      <w:r>
        <w:t>Par ailleurs, les déclarations du recourant concernant les circonstances de sa fuite ne satisfont pas non plus aux critères de vraisemblance fixés par la loi. Lors de l'audition du 30 mai 2011, il a déclaré que son frère et son père, après l'avoir séquestré et maltraité durant plusieurs jours, avaient fait venir divers membres de la famille (son ou ses oncles paternels et des cousins). Ils lui auraient délié les mains et auraient tenté de discuter avec lui pour le persuader de changer d'avis. Ils l'auraient ensuite quitté en lui disant de réfléchir et de monter leur donner sa réponse. La porte de la cave n'aurait pas été verrouillée, ce qui lui aurait permis de s'enfuir. Comme l'a relevé l'ODM, cette attitude de sa famille, d'abord déterminée à le torturer, puis assez négligente pour lui laisser l'opportunité de s'enfuir, n'est pas crédible. Le recourant fait valoir dans son mémoire qu'il ne s'agissait pas de geôliers professionnels. Cette explication ne saurait suffire à convaincre de la réalité de cette partie de son récit, (...). En effet, ses déclarations sur ce point sont évasives, voire contradictoires. Au CEP, il a déclaré qu'il avait compris "pendant la nuit" que la pièce n'était pas fermée à clé et qu'il avait profité pour s'enfuir et n'a pas parlé du fait que sa famille attendait qu'il lui apporte sa réponse. Il a donc présenté les choses comme un oubli de ses proches de verrouiller la porte de la cave. Lors de l'audition sur ses motifs, il a déclaré que ceux-ci avaient défait ses liens et qu'ils lui avaient dit de réfléchir et leur apporter sa réponse. A la question de savoir comment il pourrait monter si la porte était fermée, il a d'abord répondu qu'ils avaient laissé la porte ouverte (Q. 57 et 58), puis expliqué qu'il avait remarqué seulement après s'être levé que la porte était ouverte (Q. 59) et qu'il s'était enfui tout de suite (Q. 60). En définitive, ses déclarations concernant sa fuite apparaissent comme confuses et peu crédibles. A cela s'ajoute que le recourant avait déclaré au CEP être demeuré deux jours chez son oncle, d'où il était parti directement pour la Turquie, alors qu'il a ultérieurement déclaré être demeuré un jour chez son oncle, puis une semaine chez l'ami de ce dernier, dans une autre localité, avant de quitter le pays. Or, sa volonté de cacher son séjour en Grèce explique peut-être le fait qu'il ait, lors de l'audition sommaire, placé en novembre 2009 son départ du pays et non en juin 2009, comme il l'a fait ultérieurement, mais non qu'il n'ait pas parlé d'un séjour d'une semaine chez l'ami de son oncle pour préparer son départ.</w:t>
      </w:r>
    </w:p>
    <w:p>
      <w:r>
        <w:rPr>
          <w:b/>
        </w:rPr>
        <w:t>E. 3.1.3</w:t>
      </w:r>
    </w:p>
    <w:p>
      <w:r>
        <w:t>Au vu de ce qui précède, le recourant n'a pas rendu vraisemblable, au sens de l'art. 7 LAsi, qu'il aurait quitté le pays pour les raisons et dans les circonstances alléguées.</w:t>
      </w:r>
    </w:p>
    <w:p>
      <w:r>
        <w:rPr>
          <w:b/>
        </w:rPr>
        <w:t>E. 3.2</w:t>
      </w:r>
    </w:p>
    <w:p>
      <w:r>
        <w:t>Le recourant affirme s'être converti au christianisme après son arrivée en Suisse et soutient qu'en cas de retour dans son pays d'origine il serait, pour cette raison, persécuté par sa propre famille, sans aide à attendre des autorités.</w:t>
      </w:r>
    </w:p>
    <w:p>
      <w:r>
        <w:rPr>
          <w:b/>
        </w:rPr>
        <w:t>E. 3.2.1</w:t>
      </w:r>
    </w:p>
    <w:p>
      <w:r>
        <w:t>Le recourant a beaucoup insisté, dès son arrivée en Suisse, sur sa volonté de devenir chrétien et a fourni, devant l'ODM, plusieurs documents dans le but de démontrer qu'il fréquentait des communautés chrétiennes. Même si, avant son départ du pays, sa décision de devenir chrétien paraît avoir été guidée par le seul fait qu'il n'avait pas "pas d'autre choix" s'il voulait épouser la femme dont il était amoureux, il a déposé un certain nombre de documents destinés à démontrer sa conviction religieuse. En procédure de recours, il a notamment fourni, outre un certificat de baptême, une lettre d'un responsable du (...) attestant de sa fidélité aux réunions hebdomadaires de l'association et de sa participation "assidue" à d'autres rencontres et réunions de prières et de lectures de la Bible. Aussi, si les indices de sa conviction chrétienne avant son départ de son pays d'origine étaient faibles, comme l'a relevé l'ODM dans sa réponse au recours, il n'y a pas lieu de mettre en doute, aujourd'hui, sa conversion au christianisme.</w:t>
      </w:r>
    </w:p>
    <w:p>
      <w:r>
        <w:rPr>
          <w:b/>
        </w:rPr>
        <w:t>E. 3.2.2</w:t>
      </w:r>
    </w:p>
    <w:p>
      <w:r>
        <w:t>Cependant, comme l'a retenu l'ODM, le fait que le recourant soit devenu chrétien ne suffit pas à démontrer l'existence d'une crainte fondée de persécution ciblée en cas de retour en Irak. Dans son arrêt E 4243/2007 publié sous ATAF 2008/4, le Tribunal a analysé la capacité et la volonté de protection des autorités kurdes dans le nord de l'Irak et constaté qu'il n'y avait pas de persécution collective de minorités ethniques et religieuses de la part des autorités dans ces provinces. En particulier, les communautés chrétiennes traditionnelles peuvent pratiquer leur religion dans un climat de tolérance de la part de la majorité musulmane (cf. consid. 6.6.6). Cette analyse est toujours actuelle. Les passages du rapport (Annual Report of the United States Commission on International Religious Freedom, mai 2011) sur lequel s'appuie le recourant pour affirmer que la minorité chrétienne est persécutée en Irak, y compris en "Irak du nord", concernent plus précisément les territoires disputés entre le gouvernement central et les autorités kurdes. Selon ce rapport, les trois provinces kurdes du nord demeurent, quant à elles, relativement sûres. Il est vrai que certaines réserves s'imposent, comme le rappelle l'arrêt précité du Tribunal, s'agissant de minorités religieuses particulièrement actives sur le plan missionnaire, ou opposées au pouvoir kurde, de même que s'agissant de personnes persécutées par des tiers. Le recourant n'a cependant pas rendu vraisemblable qu'il avait subi des persécutions, au sens de l'art. 3 LAsi, de la part des membres de sa famille, pour des motifs religieux. Par ailleurs, il a certes fourni un certificat de baptême d'une Eglise (...), dont il est notoire que certains éléments sont particulièrement axés sur le travail d'évangélisation et de conversion. Cependant, si l'on se réfère à ses déclarations et aux documents déposés à titre de preuve, il a dit être attiré par le christianisme en tant que tel et s'est approché indistinctement de plusieurs communautés chrétiennes. Il n'y a dès lors pas de motif d'admettre qu'il a, par des indices concrets, manifesté avoir la volonté, en cas de retour dans son pays d'origine, de se consacrer à une activité missionnaire particulière susceptible, par ses spécificités, d'attirer sur lui de sérieuses menaces d'islamistes radicaux.</w:t>
      </w:r>
    </w:p>
    <w:p>
      <w:r>
        <w:rPr>
          <w:b/>
        </w:rPr>
        <w:t>E. 3.2.3</w:t>
      </w:r>
    </w:p>
    <w:p>
      <w:r>
        <w:t>En définitive, le recourant n'a pas rendu vraisemblable qu'il avait une crainte objectivement fondée de subir, en cas de retour dans son pays d'origine, une persécution ciblée contre sa personne pour des motifs religieux, au sens de l'art. 3 LAsi.</w:t>
      </w:r>
    </w:p>
    <w:p>
      <w:r>
        <w:rPr>
          <w:b/>
        </w:rPr>
        <w:t>E. 3.3</w:t>
      </w:r>
    </w:p>
    <w:p>
      <w:r>
        <w:t>Au vu de ce qui précède, l'ODM a, à bon droit, refusé de reconnaître la qualité de réfugié du recourant et de lui accorder l'asile. Il s'ensuit que le recours doit être rejeté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Les trois conditions posées par l'art. 83 al. 2 à 4 LEtr, empêchant l'exécution du renvoi (illicéité, inexigibilité et impossibilité) sont de nature alternative : il suffit que l'une d'elles soit réalisée pour que le renvoi soit inexécutable (arrêt E-5316/2006 du 24 novembre 2009 consid. 5 [non publié dans ATAF 2009/41] ; arrêt E-2775/2007 du 14 février 2008 consid. 6.4 [non publié dans ATAF 2008/2] ; Jurisprudence et informations de la Commission suisse de recours en matière d'asile [JICRA] 2006 n° 30 consid. 7.3 p. 329). En l'occurrence, c'est sur la question de l'exigibilité de l'exécution du renvoi que le Tribunal entend porter son attention.</w:t>
      </w:r>
    </w:p>
    <w:p>
      <w:r>
        <w:rPr>
          <w:b/>
        </w:rPr>
        <w:t>E. 6.2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6.2.1</w:t>
      </w:r>
    </w:p>
    <w:p>
      <w:r>
        <w:t>S'agissant du renvoi de ressortissants irakiens dans leur pays d'origine, le Tribunal considère que l'exécution du renvoi est raisonnablement exigible, lorsque les intéressés sont originaires de l'une des trois provinces kurdes du nord de l'Irak (Dohuk, Erbil et Suleimaniya) ou qu'il y ont vécu pendant une longue période, et qu'il y disposent d'un réseau social (famille, parenté ou amis) ou de liens avec les partis dominants (cf. ATAF 2008/5 p. 57ss). Cette jurisprudence prend en considération les sérieuses difficultés que doivent affronter les intéressés lors de leur installation au Kurdistan, notamment pour trouver un emploi suffisamment rémunéré et un logement, et ce dans un contexte de forte augmentation du coût de la vie et de lacunes d'approvisionnement en eau potable, en énergie et en biens alimentaires, auxquelles le gouvernement kurde ne pallie que partiellement par des systèmes de rationnement ou de distribution publique. Dans ces conditions, il est important qu'en cas de retour au Kurdistan, les intéressés puissent compter sur un réseau social ou sur des liens avec les partis dominants (cf. ATAF 2008/5 consid. 7.5 in fine, p. 73).</w:t>
      </w:r>
    </w:p>
    <w:p>
      <w:r>
        <w:rPr>
          <w:b/>
        </w:rPr>
        <w:t>E. 6.2.2</w:t>
      </w:r>
    </w:p>
    <w:p>
      <w:r>
        <w:t>Selon ses déclarations, le recourant est Kurde, originaire de Sulaymaniyah, et a toujours vécu dans cette ville. Il est établi qu'en Suisse il s'est converti au christianisme. Même si le Coran ne contient pas à proprement parler de règle punissant l'apostasie et même s'il n'existe pas en Irak de tribunaux appliquant la Shari'a qui prévoit dans un tel cas la condamnation à mort, il n'en demeure pas moins que les Musulmans qui se convertissent au christianisme se trouvent souvent exclus de la société et de leur propre famille, parce qu'une telle conversion est perçue comme un déshonneur (cf. UNHCR, Egilibility Guidelines for Assessing the International Protection Needs of Iraqi Asylum-Seekers, avril 2009). Ce constat peut être également fait pour les trois provinces du Kurdistan, bien que les Chrétiens y soient, de manière générale, acceptés et respectés, en dépit de certaines discriminations et à d'actes de violence isolés (cf. Michelle Zumhofen, Irak: Situation des minorités religieuses dans les provinces de Souleymanieh, Erbil et Dohouk, administrées par le gouvernement régional du Kurdistan (KRG), rapport OSAR, Berne, 10 janvier 2008); leur nombre a d'ailleurs triplé entre 2003 et 2010, beaucoup s'y étant mis à l'abri de persécutions auxquelles ils ont été exposées plus au sud (La Croix, 14 avril 2010). Le réseau familial du recourant se situe exclusivement à Sulaymaniyah, ville où le recourant a vécu depuis sa naissance. Dans la logique des considérants qui précèdent (cf. consid. 3), il faut admettre que le recourant n'a pas rendu vraisemblable que les membres de sa famille ont actuellement des indices concrets de sa conversion ; le recourant n'a pas non plus allégué avoir conservé des contacts avec eux. Toutefois, on ne saurait, dans les circonstances d'espèce, exiger de lui qu'il renonce à toute pratique chrétienne et, compte tenu de son relatif jeune âge, des explications spécifiques qu'il a données sur sa famille et sa place au sein de celle-ci, ainsi que sur son parcours scolaire et sa formation professionnelle, elles-mêmes mises en relation avec la perception générale prévalant à Sulaymaniyah envers les Musulmans convertis au christianisme, le Tribunal considère que le recourant ne pourra vraisemblablement pas compter sur l'aide ni de sa famille ni de ses connaissances résidant dans la même ville, alors que celle-ci lui serait essentielle. Le recourant a notamment rendu vraisemblable que le soutien dont il a bénéficié de la part d'un oncle maternel pour quitter l'Irak n'a été que temporaire et n'irait pas jusqu'à une aide matérielle et financière à sa réintégration en cas de retour dans son pays d'origine, au risque de s'exposer à l'ostracisme prévisible du reste de la famille. Dans ces conditions, en l'absence de liens particuliers avec le PUK au pouvoir dans sa province d'origine ou d'attaches tissées avec une autre région du Kurdistan irakien qui lui auraient permis de s'y installer avec des garanties minimales d'existence, le Tribunal estime que l'exécution du renvoi du recourant ne peut pas être raisonnablement exigée.</w:t>
      </w:r>
    </w:p>
    <w:p>
      <w:r>
        <w:rPr>
          <w:b/>
        </w:rPr>
        <w:t>E. 6.2.3</w:t>
      </w:r>
    </w:p>
    <w:p>
      <w:r>
        <w:t>Vu ce qui précède, il y a lieu de prononcer l'admission provisoire du recourant.</w:t>
      </w:r>
    </w:p>
    <w:p>
      <w:r>
        <w:rPr>
          <w:b/>
        </w:rPr>
        <w:t>E. 6.2.4</w:t>
      </w:r>
    </w:p>
    <w:p>
      <w:r>
        <w:t>En conséquence, le recours doit être admis sur ce point et la décision attaquée annulée en tant qu'elle prononce l'exécution du renvoi du recourant. L'ODM est donc invité à prononcer l'admission provisoire de celui-ci.</w:t>
      </w:r>
    </w:p>
    <w:p>
      <w:r>
        <w:rPr>
          <w:b/>
        </w:rPr>
        <w:t>E. 7.1</w:t>
      </w:r>
    </w:p>
    <w:p>
      <w:r>
        <w:t>Compte tenu de l'issue de la procédure, une partie des frais devrait être mise à la charge du recourant, dont les conclusions en matière d'asile ont été rejetées (cf. art. 63 al.1 PA ).</w:t>
      </w:r>
    </w:p>
    <w:p>
      <w:r>
        <w:rPr>
          <w:b/>
        </w:rPr>
        <w:t>E. 7.2</w:t>
      </w:r>
    </w:p>
    <w:p>
      <w:r>
        <w:t>Toutefois, il a requis le bénéfice de l'assistance judiciaire. Dès lors que ses conclusions ne pouvaient être considérées comme, d'emblée, vouées à l'échec, sa demande doit être admise, eu égard à son indigence (cf. art. 65 al.1 PA). Partant, il n'y a pas lieu de percevoir de frais (art. 63 al. 2 PA).</w:t>
      </w:r>
    </w:p>
    <w:p>
      <w:r>
        <w:rPr>
          <w:b/>
        </w:rPr>
        <w:t>E. 7.3</w:t>
      </w:r>
    </w:p>
    <w:p>
      <w:r>
        <w:t>Ayant eu partiellement gain de cause, le recourant a droit à une indemnité partielle pour les frais indispensables et relativement élevés qui lui ont été occasionnés (cf. art. 64 al 1 PA et art. 7 al. 2 FITAF du règlement du 11 décembre 2006 concernant les frais, dépens et indemnités fixés par le Tribunal administratif fédéral [FITAF, RS 173.320.2]).</w:t>
      </w:r>
    </w:p>
    <w:p>
      <w:r>
        <w:rPr>
          <w:b/>
        </w:rPr>
        <w:t>E. 7.4</w:t>
      </w:r>
    </w:p>
    <w:p>
      <w:r>
        <w:t>Ceux-ci sont en l'occurrence arrêtés à Fr. 400.-, sur la base du dossier, en l'absence d'un décompte de prestations de la mandataire du recourant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