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E-3648/2018 vom 7. Oktober 2019</w:t>
      </w:r>
    </w:p>
    <w:p>
      <w:r>
        <w:t>Bundesverwaltungsgericht, 2019-10-07, DE</w:t>
      </w:r>
    </w:p>
    <w:p>
      <w:r>
        <w:rPr>
          <w:b/>
        </w:rPr>
        <w:t xml:space="preserve">Quelle: </w:t>
      </w:r>
      <w:r>
        <w:t>https://mcp.opencaselaw.ch/entscheid/bvger_E-3648_2018</w:t>
      </w:r>
    </w:p>
    <w:p>
      <w:r>
        <w:t>FR: TAF E-3648/2018 du 7 octobre 2019</w:t>
      </w:r>
    </w:p>
    <w:p>
      <w:r>
        <w:t>IT: TAF E-3648/2018 del 7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kam in der angefochtenen Verfügung zum Schluss, die Vorbringen des Beschwerdeführers hielten weder den Anforderungen an die Glaubhaftigkeit gemäss Art. 7 AsylG noch denjenigen an die Flüchtlingseigenschaft gemäss Art. 3 AsylG stand. Zur Begründung führte sie an, der Beschwerdeführer habe anlässlich seiner Anhörung angegeben, er sei abgeholt und während des Transports auf einem Lastwagen von einem Polizisten blutig geschlagen worden. Deshalb sei er vom Lastwagen gesprungen und geflohen. Die Tatsache, dass er bei der Kurzbefragung dieses schockierende Erlebnis beziehungsweise die Festnahme nicht erwähnt, sondern nur von der nicht zutreffenden Anschuldigung, er gehöre ebenfalls zur Pfingstgemeinde, gesprochen habe, lasse an der Richtigkeit jener Ereignisse zweifeln. Er habe angegeben, sich aus Angst vor einer Festnahme immer versteckt gehalten zu haben. Daher sei es schwer verständlich, dass er gerade in dieser folgenschweren Nacht zu Hause übernachtet habe, weshalb die Vermutung bestehe, dass es sich bei der Festnahme um ein konstruiertes Ereignis handle. Dass er - unter Verweis auf zwei Protokollstellen - den Hergang der Ereignisse nach der Flucht aus dem Lastwagen praktisch identisch geschilderte habe, erhärte diese Einschätzung. Weiter habe er angegeben, dass er die militärische Vorladung, die zu Hause abgegeben worden sei, nicht gelesen habe. Vor dem Hintergrund, dass er infolge dieser Vorladung gezwungen gewesen sei, sich zu verstecken und den Lebensunterhalt heimlich zu verdienen, sei es nicht plausibel, dass er diesem Dokument derart wenig Beachtung geschenkt habe und keine weiteren Angaben zu dessen Inhalt machen könne. Was seine Festnahme im Jahr 2010 betreffe, stelle diese zwar einen Eingriff in seine persönliche Freiheit dar, diese sei aber offensichtlich aus einem asylfremden Motiv erfolgt und habe lediglich strafrechtlichen Charakter. Damit sei das Vorbringen nicht asylerheblich. Gemäss Praxis des Bundesverwaltungsgerichts bewirke eine illegale Ausreise aus Eritrea alleine keine begründete Furcht vor Nachteilen im Sinne von Art. 3 AsylG. Beim Beschwerdeführer seien keine zusätzlichen Faktoren ersichtlich, die ihn in den Augen der eritreischen Behörden als missliebige Person erscheinen liessen. Die blosse Möglichkeit, irgendwann einmal in den Militärdienst einberufen zu werden, vermöge die Flüchtlingseigenschaft nicht zu begründen.</w:t>
      </w:r>
    </w:p>
    <w:p>
      <w:r>
        <w:rPr>
          <w:b/>
        </w:rPr>
        <w:t>E. 4.2</w:t>
      </w:r>
    </w:p>
    <w:p>
      <w:r>
        <w:t>In der Beschwerde wird dem entgegengehalten, der Beschwerdeführer habe glaubhaft ausgesagt, seine Gefühle geschildert und seine Gedankengänge erklärt. Seine Ausführungen seien realitätsnah, emotional und seine Verhaltensweisen objektiv nachvollziehbar. Aus seinen Ausführungen ergebe sich eine Verfolgungssituation. Die BzP des Beschwerdeführers habe erst nach 18.30 Uhr stattgefunden und die Stimmung sei spannungsgeladen und gestresst gewesen. Er sei gebeten worden, seine Asylgründe in drei bis vier Sätzen zu schildern. Ihm sei es aber schwer gefallen, seine komplexen Fluchtgründe in solcher Kürze zu schildern. Er sei bei seinen Schilderungen unterbrochen worden, was er jedoch nicht im Protokoll habe vermerken lassen, da er nicht gewusst habe, dass er dies dürfe. Er habe in der fraglichen Nacht zu Hause übernachtet, da er erfahren habe, dass seine Mutter und Schwester verhaftet worden seien. Er sei nach Hause gegangen, um sich um seine anderen Geschwister zu kümmern. In derselben Nacht, gegen 5.00 Uhr morgens, seien die Behörden erneut gekommen, um ihn festzunehmen. Es überrasche, dass die Vorinstanz diese Erklärung nicht nachvollziehen könne. Er habe das Risiko, gefunden zu werden, in jener Nacht in Kauf genommen, da zu diesem Zeitpunkt die Sicherheit seiner jüngeren Geschwister wichtiger gewesen sei. Da er die älteste männliche Person im Haushalt gewesen sei, habe er die Verantwortung getragen. Zudem habe er nicht erwartet, dass die Behörden in derselben Nacht ein zweites Mal zu ihnen nach Hause kommen würden. Er habe damit, dass er auf der Verwaltung die Ausstellung einer Identitätskarte beantragt habe, zusätzliche Aufmerksamkeit auf sich gezogen. Ferner sei er zum Militärdienst aufgeboten und verdächtigt worden, der Pfingstgemeinde anzugehören. Damit liege bei ihm ein geschärftes Profil vor. Bei einer Rückkehr bestehe demnach die reale Gefahr, einer unmenschlichen Behandlung ausgesetzt zu werden.</w:t>
      </w:r>
    </w:p>
    <w:p>
      <w:r>
        <w:rPr>
          <w:b/>
        </w:rPr>
        <w:t>E. 5.1</w:t>
      </w:r>
    </w:p>
    <w:p>
      <w:r>
        <w:t>Vorab ist festzuhalten, dass nicht ersichtlich ist, weshalb dem Beschwerdeführer aus dem Umstand seiner erst am Abend durchgeführten BzP ein Nachteil erwachsen sein soll. Auch dass er dabei gebeten wurde, seine Asylgründe in nur wenigen Sätzen zu schildern - was üblich ist -, ändert nichts daran. Grundsätzlich erhalten die Gesuchstellenden bei der Anhörung, welche als wichtigste Grundlage für den Entscheid im Asylverfahren bezeichnet werden kann, die Möglichkeit, ihr Gesuch ausführlich zu begründen und sich umfassend zu den Asylgründen zu äussern (vgl. BVGE 2007/30 E. 5.5). Trotz des summarischen Charakters der BzP ist es gemäss ständiger Rechtsprechung zulässig, Widersprüche für die Beurteilung der Glaubhaftigkeit heranzuziehen, wenn klare Aussagen im Empfangszentrum respektive an der BzP in wesentlichen Punkten der Asylbegründung von den späteren Aussagen an der Anhörung bei der Vorinstanz diametral abweichen, oder wenn bestimmte Ereignisse oder Befürchtungen, welche später als zentrale Asylgründe genannt werden, nicht bereits im Empfangszentrum zumindest ansatzweise erwähnt werden (vgl. statt vieler: Urteil des BVGer D-6869/2017 vom 27. August 2019 E. 5.2 m.w.H; Entscheidungen und Mitteilungen der Schweizerischen Asylrekurskommission [EMARK] 1993 Nr. 3). In der angefochtenen Verfügung hat das SEM dem BzP-Protokoll keine unrechtmässige Bedeutung beigemessen.</w:t>
      </w:r>
    </w:p>
    <w:p>
      <w:r>
        <w:rPr>
          <w:b/>
        </w:rPr>
        <w:t>E. 5.2</w:t>
      </w:r>
    </w:p>
    <w:p>
      <w:r>
        <w:t>Das Gericht kommt zum Schluss, dass die Vorinstanz in ihren Erwägungen zutreffend festgehalten hat, die Vorbringen des Beschwerdeführers genügten den Anforderungen an die Glaubhaftigkeit respektive Asylrelevanz im Sinne von Art. 7 und Art. 3 AsylG nicht. Entgegen der Ansicht des Beschwerdeführers hat die Vorinstanz denn auch eine Gesamtwürdigung der Ereignisse vorgenommen und die Schilderungen als insgesamt nicht glaubhaft befunden. Die Ausführungen in der Beschwerdeschrift, welche hauptsächlich den aktenkundigen Sachverhalt wiederholen, sind nicht geeignet, die fluchtauslösenden Ereignisse in einem glaubhafteren Licht erscheinen zu lassen. Der Beschwerdeführer nannte an der BzP als einen seiner Gründe für seine Ausreise die Tatsache, dass er die Schule nicht mehr habe besuchen können. In diesem Zusammenhang erweist sich bereits die genannte Begründung, die Schule habe nicht genug Platz gehabt, weshalb er ein Jahr habe aussetzen müssen (SEM-Akte A19/20 F32), als nicht verständlich. Als weitere Ausreisegründe gab der Beschwerdeführer die Verweigerung der Ausstellung einer Identitätskarte und dass er beschuldigt worden sei, der Pfingstgemeinde anzugehören, an. Diesbezüglich ist festzuhalten, dass es nicht wahrscheinlich erscheint, dass der Beschwerdeführer sich während ungefähr zwei bis drei Jahren (der Zeitrahmen ergibt sich nicht klar aus seinen Ausführungen) gleichzeitig versteckt gehalten und gearbeitet habe (SEM-Akte A19/20 F44 ff.). Es ist ihm auch nicht zu glauben, dass er, wenn er sich tatsächlich während einer solch langen Zeit versteckt gehalten hätte, sich unter diesen Umständen ohne Weiteres zur Verwaltung begeben hätte, um sich eine Identitätskarte ausstellen zu lassen (SEM-Akte A19/20 F32). Sein Erscheinen auf einer Verwaltungsbehörde spricht wiederum gegen ein konkretes Aufgebot zum Militär und dass er sich hat verstecken müssen. Dementsprechend sind die diesbezüglichen Schilderungen des Beschwerdeführers auch ausweichend. Er gab lediglich an, «sie» hätten zunächst eine Vorladung geschickt, seien dann aber auch ein paar Mal persönlich vorbeigekommen. Hinzu kommt, dass der Beschwerdeführer das Aufgebot selbst nicht gelesen haben will (SEM-Akte A19/20 F52 ff.), was ebenfalls nicht plausibel erscheint. Anlässlich der BzP gab der Beschwerdeführer, erst als er konkret danach gefragt wurde, an, er sei im Jahr 2010 während zwei Monaten inhaftiert gewesen (SEM-Akte A4/10 Ziff. 7.01). Eine weitere Verhaftung mit anschliessender Flucht erwähnte er nicht. In der Anhörung hingegen gab er an, der Grund für seine Ausreise sei, dass er in derselben Nacht, als seine Mutter verhaftet worden sei, selbst von der Polizei gefasst und mitgenommen worden sei. Am nächsten Tag sei es ihm jedoch gelungen, vom Gefangenentransporter zu springen und in einer Menschenmenge unterzutauchen. Nachdem er sich bei einem Freund versteckt habe, habe er das Land verlassen (SEM-Akte A19/20 F82 ff.). Wieso er diesen fluchtauslösenden Moment, indem er laut seinen Angaben auch blutig geschlagen worden sei (SEM-Akte A19/20 F33, F81), an der BzP nicht erwähnt hat, ist nicht nachvollziehbar. Es wäre zu erwarten gewesen, dass dieses Erlebnis, welches sich unmittelbar vor der Flucht zugetragen hätte, dem Beschwerdeführer an der ersten Befragung noch gut in Erinnerung gewesen wäre. Die Tatsache, dass er es indes erst an der Anhörung erwähnte, spricht dagegen, dass er das Vorgebrachte tatsächlich erlebt hat. Auch dass er die Erzählung, wie er vom Lastwagen gesprungen ist und sich entfernt hat, mit einigen Details geschildert hat (a.a.O. F82), vermag nicht zur Glaubhaftigkeit der Aussagen zu führen, da dies die zahlreichen Ungereimtheiten in seinen Darstellungen nicht aufzuwiegen vermag. Darüber hinaus scheint der Beschwerdeführer selbst nicht zu wissen, weshalb er zuletzt verhaftet worden sein soll. Aus seinen Schilderungen geht nicht klar hervor, was ihm konkret vorgeworfen worden sei. Er nennt Vorwürfe im Zusammenhang mit der Anhängerschaft seiner Mutter bei der Pfingstgemeinde und dass ihm ebenfalls vorgeworfen worden sei, Mitglied derselben zu sein. Er führt aber auch an, es sei ihm vorgehalten worden, er habe keinen Militärdienst geleistet (a.a.O. F88). Die einzelnen Vorbringen werden vermischt, die zeitliche Abfolge ist unklar und die Schilderungen bleiben letztlich vage und unpräzise. Damit kann dem Beschwerdeführer nicht geglaubt werden, dass er - nachdem er sich während längerer Zeit versteckt aufgehalten habe - nach Hause gekommen, dann gerade in jener Nacht verhaftet worden sei, und er am nächsten Tag auch bereits wieder aus dieser Haft habe entkommen können. Was die Mitgliedschaft seiner Mutter bei der Pfingstgemeinde betrifft, unterlässt es der Beschwerdeführer, diese genauer darzulegen und beschränkt sich darauf anzugeben, Gemeindemitglieder hätten regelmässig für sie gebetet. Sodann machte er keine weiteren Angaben dazu, was seiner Mutter und seiner Schwester nach der Verhaftung geschehen sei. Mit Schreiben vom 3. Dezember 2018 lässt der Beschwerdeführer bekanntgeben, sein jüngerer Bruder habe ihm erzählt, die eritreischen Behörden hätten der Mutter zuletzt - aufgrund der Tatsache, dass er sich ausser Landes aufhalte - die Eröffnung eines Geschäfts verweigert. Da sich der Beschwerdeführer bereits seit geraumer Zeit (Einreise in die Schweiz am 15. Juni 2015) nicht mehr in Eritrea befindet und aufgrund des Umstandes, dass sein älterer Bruder gemäss seinen Aussagen in Sawa diene und Soldaten ausbilde, vermag dies nicht zu überzeugen.</w:t>
      </w:r>
    </w:p>
    <w:p>
      <w:r>
        <w:rPr>
          <w:b/>
        </w:rPr>
        <w:t>E. 5.3</w:t>
      </w:r>
    </w:p>
    <w:p>
      <w:r>
        <w:t>Die Schilderungen des Beschwerdeführers erweisen sich als unpräzise und geprägt von zahlreichen Ungereimtheiten, wovon vorstehend nur einige genannt wurden. Ergänzend kann auf die ausführlichen Erwägungen in der angefochtenen Verfügung verwiesen werden. Insgesamt bleiben zu viele Ungereimtheiten und es ist aufgrund der Oberflächlichkeit der Angaben nicht überzeugend, dass der Beschwerdeführer das Geschilderte tatsächlich erlebt hat. Es ist ihm demzufolge nicht gelungen, eine asylrechtlich relevante Gefährdung im Zeitpunkt seiner Ausreise glaubhaft zu machen.</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Relevant ist namentlich ein Kontakt, aus dem erkennbar wird, dass die betroffene Person rekrutiert werden sollte (z.B. Erhalt eines Marschbefehls). In diesen Fällen droht grundsätzlich nicht allein eine Haftstrafe, sondern eine Inhaftierung unter unmenschlichen Bedingungen und Folter. Sodann wird die Desertion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beispielsweise bestätigt in den Urteilen des BVGer E-1478/2017 vom 23. Januar 2019 E. 6.1, E-1740/2016 vom 9. Februar 2018 E. 5.1).</w:t>
      </w:r>
    </w:p>
    <w:p>
      <w:r>
        <w:rPr>
          <w:b/>
        </w:rPr>
        <w:t>E. 6.2</w:t>
      </w:r>
    </w:p>
    <w:p>
      <w:r>
        <w:t>Der Beschwerdeführer vermochte keinen Kontakt zu den Militärbehörden glaubhaft zu machen, weshalb er nicht in die Kategorie von Deserteuren und Dienstverweigerern fällt, welche nach der Rechtsprechung des Bundesverwaltungsgerichts den Flüchtlingsstatus zugesprochen erhalten.</w:t>
      </w:r>
    </w:p>
    <w:p>
      <w:r>
        <w:rPr>
          <w:b/>
        </w:rPr>
        <w:t>E. 7.1</w:t>
      </w:r>
    </w:p>
    <w:p>
      <w:r>
        <w:t>In einem nächsten Schritt ist zu prüfen, ob der Beschwerdeführer wegen seiner Ausreise aus Eritrea bei einer Rückkehr dorthin - mithin wegen subjektiver Nachfluchtgründe - befürchten müsste, ernsthaften Nachteilen im Sinn von Art. 3 AsylG ausgesetzt zu werden.</w:t>
      </w:r>
    </w:p>
    <w:p>
      <w:r>
        <w:rPr>
          <w:b/>
        </w:rPr>
        <w:t>E. 7.2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(BVGE 2009/29).</w:t>
      </w:r>
    </w:p>
    <w:p>
      <w:r>
        <w:rPr>
          <w:b/>
        </w:rPr>
        <w:t>E. 7.3</w:t>
      </w:r>
    </w:p>
    <w:p>
      <w:r>
        <w:t>Der Beschwerdeführer macht geltend, er habe Eritrea illegal verlassen und sei deswegen im Falle einer Rückkehr dorthin an Leib und Leben sowie in seiner Freiheit gefährdet.</w:t>
      </w:r>
    </w:p>
    <w:p>
      <w:r>
        <w:rPr>
          <w:b/>
        </w:rPr>
        <w:t>E. 7.4</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7.5</w:t>
      </w:r>
    </w:p>
    <w:p>
      <w:r>
        <w:t>Beim Beschwerdeführer ergeben sich aus den vorliegenden Akten keine Gründe, die ihn in den Augen des eritreischen Regimes als missliebige Person erscheinen liessen. Insbesondere ist es ihm - wie oben dargelegt - weder gelungen, einen Kontakt mit den Militärbehörden noch die geltend gemachte Festnahme vor seiner Ausreise glaubhaft darzulegen. Auch aus der - lediglich oberflächlich geschilderten - Verhaftung im Jahr 2010 und der nicht genauer dargelegten Mitgliedschaft seiner Mutter bei der Pfingstgemeinde ist keine Gefährdung abzuleiten. Auch dass die Behörden ihm persönlich vorgeworfen hätten, er gehöre dieser Glaubensgemeinschaft an, vermochte der Beschwerdeführer nicht glaubhaft zu machen. Zusammenfassend konnte der Beschwerdeführer damit keine relevante Verfolgungsgefahr dartun und die Vorinstanz hat die Flüchtlingseigenschaft des Beschwerdeführers zu Recht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Beschwerdeführer bringt vor, bei einer Rückkehr nach Eritrea befürchte er die Einziehung in den Militärdienst. Der Vollzug der Wegweisung verletze Art. 3 und Art. 4 EMRK und sei daher weder zulässig noch sei ihm dieser persönlich zumutbar.</w:t>
      </w:r>
    </w:p>
    <w:p>
      <w:r>
        <w:rPr>
          <w:b/>
        </w:rPr>
        <w:t>E. 10.2</w:t>
      </w:r>
    </w:p>
    <w:p>
      <w:r>
        <w:t>Nach Art. 83 Abs. 3 AIG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10.3</w:t>
      </w:r>
    </w:p>
    <w:p>
      <w:r>
        <w:t>Das Bundesverwaltungsgericht hat sich mit dem Koordinationsentscheid E-5022/2017 vom 10. Juli 2018 (als Referenzurteil publiziert) mit der Frage befasst, ob der Vollzug der Wegweisung auch angesichts einer drohenden Einziehung in den eritreischen Nationaldienst als zulässig (Art. 83 Abs. 3 AIG) und zumutbar (Art. 83 Abs. 4 AIG) qualifiziert werden könne. Beides hat das Gericht mit den folgenden Erwägungen bejaht:</w:t>
      </w:r>
    </w:p>
    <w:p>
      <w:r>
        <w:rPr>
          <w:b/>
        </w:rPr>
        <w:t>E. 10.3.1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10.3.2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aber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10.3.3</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10.4</w:t>
      </w:r>
    </w:p>
    <w:p>
      <w:r>
        <w:t>Aus den Akten ergeben sich keine weiteren Gründe für die Annahme der Unzulässigkeit des Wegweisungsvollzugs. Es ist nicht ersichtlich, weshalb im Falle des Beschwerdeführers eine allfällige Einziehung in den Nationaldienst Art. 3 und Art. 4 EMRK verletzen sollte. Der Wegweisungsvollzug ist folglich als zulässig zu betrachten.</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Wie oben dargelegt, vermag eine allfällig bevorstehende Einziehung in den eritreischen Nationaldienst allein nicht zur Annahme einer existenziellen Gefährdung zu führen.</w:t>
      </w:r>
    </w:p>
    <w:p>
      <w:r>
        <w:rPr>
          <w:b/>
        </w:rPr>
        <w:t>E. 10.5.2</w:t>
      </w:r>
    </w:p>
    <w:p>
      <w:r>
        <w:t>Im Urteil D-2311/2016 vom 17. August 2017 (als Referenzurteil publiziert) hat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a.a.O. E. 17.2).</w:t>
      </w:r>
    </w:p>
    <w:p>
      <w:r>
        <w:rPr>
          <w:b/>
        </w:rPr>
        <w:t>E. 10.6</w:t>
      </w:r>
    </w:p>
    <w:p>
      <w:r>
        <w:t>Beim Beschwerdeführer handelt es sich um einen (...)-jährigen Mann, dessen zuvor bestehende gesundheitliche Beeinträchtigungen ([...]) inzwischen geheilt sind. Er hat die Schule bis zur (...) Klasse besucht und danach Arbeitserfahrungen in diversen Gebieten (als [...], [...], [...]) gesammelt und damit seine Familie unterstützt. Er verfügt in Eritrea über ein tragfähiges Beziehungsnetz und wurde bereits vor seiner Ausreise von einer Tante aus den USA unterstützt, auf deren Hilfe er nötigenfalls erneut zurückgreifen könnte. Besondere individuelle Umstände, aufgrund derer bei einer Rückkehr nach Eritrea von einer existenziellen Bedrohung ausgegangen werden müsste, liegen nicht vor, weshalb sich der Vollzug der Wegweisung als zumutbar erweist.</w:t>
      </w:r>
    </w:p>
    <w:p>
      <w:r>
        <w:rPr>
          <w:b/>
        </w:rPr>
        <w:t>E. 10.7</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10.8</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Mit Zwischenverfügung vom 26. Juni 2018 wurde indes das Gesuch um unentgeltliche Prozessführung gutgeheissen. Dem Beschwerdeführer sind dementsprechend keine Verfahrenskosten aufzuerlegen.</w:t>
      </w:r>
    </w:p>
    <w:p>
      <w:r>
        <w:rPr>
          <w:b/>
        </w:rPr>
        <w:t>E. 12.2</w:t>
      </w:r>
    </w:p>
    <w:p>
      <w:r>
        <w:t>Mit derselben Zwischenverfügung wurde auch der Antrag auf amtliche Rechtsverbeiständung gutgeheissen. Die Kostennote vom 25. Juni 2018 weist einen zeitlichen Aufwand von 8.5 Stunden à Fr. 180.- und eine Spesenpauschale von Fr. 50.- aus. Der zeitliche Aufwand erscheint angemessen. Nach Praxis des Gerichts werden amtlich bestellte Rechtsvertreterinnen ohne Anwaltspatent mit einem Stundensatz von Fr. 100.- bis 150.- entschädigt (vgl. Art. 12 i.V.m. Art. 10 Abs. 2 VGKE), weshalb der Stundenansatz auf Fr. 150.- gekürzt wird. Die geltend gemachte Pauschale für allgemeine Spesen wird nicht berücksichtigt, da praxisgemäss nur effektiv ausgewiesene Kosten entschädigt werden. Unter Berücksichtigung des massgebenden Stundenansatzes von Fr. 150.-, der Aktenlage und der Bemessungsfaktoren (Art. 12 i.V.m. Art. 9-11 VGKE) ist der amtlichen Rechtsbeiständin zulasten der Gerichtskasse ein amtliches Honorar in der Höhe von Fr. 1'373.20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