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E-3641/2018 vom 10. Februar 2021</w:t>
      </w:r>
    </w:p>
    <w:p>
      <w:r>
        <w:t>Bundesverwaltungsgericht, 2021-02-10, FR</w:t>
      </w:r>
    </w:p>
    <w:p>
      <w:r>
        <w:rPr>
          <w:b/>
        </w:rPr>
        <w:t xml:space="preserve">Quelle: </w:t>
      </w:r>
      <w:r>
        <w:t>https://mcp.opencaselaw.ch/entscheid/bvger_E-3641_2018</w:t>
      </w:r>
    </w:p>
    <w:p>
      <w:r>
        <w:t>FR: TAF E-3641/2018 du 10 février 2021</w:t>
      </w:r>
    </w:p>
    <w:p>
      <w:r>
        <w:t>IT: TAF E-3641/2018 del 10 febbraio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1.3</w:t>
      </w:r>
    </w:p>
    <w:p>
      <w:r>
        <w:t>La présente procédure est soumise à l'ancien droit (dispositions transitoires de la modification du 25 septembre 2015, al. 1 LAsi).</w:t>
      </w:r>
    </w:p>
    <w:p>
      <w:r>
        <w:rPr>
          <w:b/>
        </w:rPr>
        <w:t>E. 1.4</w:t>
      </w:r>
    </w:p>
    <w:p>
      <w:r>
        <w:t>Le recourant a qualité pour recourir ; présenté dans la forme et dans le délai prescrits par la loi, son recours est recevable (art. 48 al. 1 ainsi que 52 al. 1 PA et anc.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w:t>
      </w:r>
    </w:p>
    <w:p>
      <w:r>
        <w:rPr>
          <w:b/>
        </w:rPr>
        <w:t>E. 3.1</w:t>
      </w:r>
    </w:p>
    <w:p>
      <w:r>
        <w:t>En l'occurrence, le SEM a considéré que le recourant n'avait pas été en mesure d'établir la crédibilité et le sérieux de ses motifs. D'une part, il a considéré que ses déclarations avaient été contradictoires sur des points essentiels de son récit, à savoir sur la connaissance ou non de son homosexualité par des tiers ainsi que sur le moment où il l'aurait avouée à sa mère. D'autre part, il a retenu que le recourant n'avait pas été à même d'exposer de manière « nuancée et concluante » son cheminement intérieur et la prise de conscience qu'il aurait vécue par rapport à cette découverte de lui-même, ni de donner des détails personnels sur sa relation avec son compagnon. Aussi, ses allégations relatives aux menaces de mort dont il aurait fait l'objet de la part d'un ou de plusieurs oncles, en rien étayées, auraient été particulièrement sommaires et vagues. Le SEM n'a par ailleurs pas tenu pour crédible le fait que sa famille ait continué à le soutenir après son départ et que sa mère « désespère de vous [le] voir vivre en exil », le priant de rentrer au pays, alors que ce serait justement elle qui l'aurait dénoncé à ses oncles. Le SEM a encore relevé que le recourant n'avait pas été en mesure de raconter de manière spontanée et précise les évènements qui avaient suivi la découverte de son homosexualité et les circonstances dans lesquelles il aurait quitté sa ville d'origine. Enfin, il lui a reproché de ne pas avoir présenté l'original de son passeport, alors qu'il savait où celui-ci se trouvait et qu'il avait été en mesure de fournir sa carte d'identité irakienne ainsi que des documents relatifs à ses études.</w:t>
      </w:r>
    </w:p>
    <w:p>
      <w:r>
        <w:rPr>
          <w:b/>
        </w:rPr>
        <w:t>E. 3.2</w:t>
      </w:r>
    </w:p>
    <w:p>
      <w:r>
        <w:t>Dans son recours, l'intéressé conteste l'argumentation présentée par le SEM concernant l'invraisemblance de son récit. Il soutient avoir décrit de manière crédible, non contradictoire et personnelle la prise de conscience de son homosexualité, sa relation avec son dernier partenaire, les événements l'ayant poussé à quitter son pays (découverte de son homosexualité par sa mère et menaces de mort) ainsi que l'organisation de son départ. Il y avait en particulier lieu de prendre en considération la difficulté qu'avait représenté pour lui le fait de parler ouvertement et en détail de son homosexualité, difficultés qui, selon lui, s'expliqueraient par le contexte social, religieux et culturel dans lequel il avait vécu et le fait qu'il avait dû taire son orientation sexuelle pendant des années. Ces éléments n'auraient pas été suffisamment pris en compte par le SEM dans l'examen de la crédibilité de son récit. Se référant à divers rapports internationaux qui traitent de la situation des personnes homosexuelles en Irak, il soutient, en outre, qu'en cas de retour dans ce pays, il s'exposerait à de sérieux préjudices, alléguant qu'il ne pourrait pas, en cas de nécessité, obtenir la protection des autorités de son pays. Enfin, il déclare avoir un nouveau partenaire en Suisse.</w:t>
      </w:r>
    </w:p>
    <w:p>
      <w:r>
        <w:rPr>
          <w:b/>
        </w:rPr>
        <w:t>E. 4.1</w:t>
      </w:r>
    </w:p>
    <w:p>
      <w:r>
        <w:t>Le Tribunal n'ignore pas les sérieuses difficultés auxquelles peuvent être confrontées les personnes faisant valoir des motifs d'asile liés à leur orientation sexuelle et le fait qu'il peut leur être très pénible de s'exprimer sur leur vécu. Cela dit, contrairement à ce qu'il soutient dans son pourvoi, tel n'apparaît pas avoir été le cas du recourant, qui, lors de son audition sur les données personnelles déjà, a été en mesure d'exprimer ouvertement qu'il avait quitté l'Irak parce que ses oncles auraient appris qu'il avait eu une relation avec un homme. Il ne ressort pas non plus de ce procès-verbal, ni de celui plus détaillé du 31 janvier 2017 (audition sur les motifs) qu'il aurait semblé mal à l'aise ou été empêché de parler ou d'exprimer ouvertement ses émotions d'une quelconque manière, ni que l'auditrice aurait posé des questions inadaptées ou inadéquates afin de vérifier la crédibilité des faits présentés. Dès lors, la critique formulée par le recourant selon laquelle le SEM n'aurait pas suffisamment tenu compte de la difficulté qu'avait représenté pour lui le fait de parler ouvertement de son homosexualité, n'est, en l'espèce, pas fondée.</w:t>
      </w:r>
    </w:p>
    <w:p>
      <w:r>
        <w:rPr>
          <w:b/>
        </w:rPr>
        <w:t>E. 4.2</w:t>
      </w:r>
    </w:p>
    <w:p>
      <w:r>
        <w:t>Comme l'a relevé le SEM, le récit présenté par le recourant comporte plusieurs indices d'invraisemblance importants qui ne trouvent aucune explication légitime.</w:t>
      </w:r>
    </w:p>
    <w:p>
      <w:r>
        <w:rPr>
          <w:b/>
        </w:rPr>
        <w:t>E. 4.2.1</w:t>
      </w:r>
    </w:p>
    <w:p>
      <w:r>
        <w:t>Le recourant n'a d'abord pas rendu crédible l'évènement à l'origine même de sa fuite du pays, à savoir la découverte de sa prétendue homosexualité par sa mère. Ainsi, il a, dans un premier temps, allégué avoir annoncé à celle-ci qu'il était homosexuel lors d'un pique-nique (cf. procès-verbal [ci-après : p-v] d'audition du 20 juillet 2015, pt. 7.2), pour ensuite expliquer avoir fait cette révélation en soirée, après le pique-nique, alors qu'il regardait la télévision à la maison (cf. p-v du 31 janvier 2017, R 57 à 61, 153ss). Confronté à cette contradiction par l'auditrice, il s'est contenté de dire qu'il ne se rappelait pas laquelle de ces deux versions était correcte, étant donné que c'était il y a longtemps et qu'il avait « beaucoup de choses en tête » (cf. p-v précité, R 178). Or, il pouvait raisonnablement être attendu de lui qu'il donne plus de détails sur le déroulement de cette conversation, assurément marquante dans les circonstances décrites. Invité à plusieurs reprises à dépeindre cet événement, il n'a pas fourni de détails significatifs d'une réelle expérience vécue. Il n'a en particulier pas donné d'explications permettant de reconstituer spontanément et précisément la scène, se contentant d'indiquer que l'altercation qu'il avait eue avec sa mère avait commencé alors qu'il regardait la télévision. Ce n'est que sur demande de l'auditrice qu'il a brièvement expliqué que, suite à sa révélation, sa mère s'était trouvée mal et l'avait insulté (cf. p-v d'audition du 31 janvier 2017, R 58 à 68). S'il apparaît déjà douteux que, dans un excès de colère, il ait révélé à sa mère sa relation avec un homme, alors que cela faisait des années qu'il la lui cachait, il est étonnant qu'il n'ait pas tenté de se reprendre et de corriger ses propos au moment où sa mère aurait menacé d'appeler son oncle, ou à tout le moins, les démentir lorsqu'il aurait eu celui-ci au téléphone, comme il l'a fait avec son beau-frère par la suite (cf. p-v précité, R 170 ss).</w:t>
      </w:r>
    </w:p>
    <w:p>
      <w:r>
        <w:rPr>
          <w:b/>
        </w:rPr>
        <w:t>E. 4.2.2</w:t>
      </w:r>
    </w:p>
    <w:p>
      <w:r>
        <w:t>Par ailleurs, le recourant s'est montré imprécis au sujet des menaces de mort prétendument reçues par téléphone, indiquant tantôt qu'elles avaient été proférées par des oncles paternel et maternel, tantôt par un oncle paternel uniquement (cf. p-v d'audition du 20 juillet 2015, pt. 7.01 ainsi que du 31 janvier 2017, R 56 et 71s.). Son inconstance sur ce point paraît pour le moins surprenante d'autant plus qu'il s'agirait de la raison qui lui aurait fait quitter définitivement son pays d'origine. Aussi, invité, à plusieurs reprises, à développer le déroulement des jours qui auraient suivis ces événements, l'intéressé a brièvement expliqué s'être rendu à B._______, où il serait resté caché dans l'appartement d'un ami jusqu'à son départ pour la Turquie. Il ne donne cependant ni le nom de cet ami, ni n'explique comment il s'y serait rendu ou ce qu'il aurait concrètement fait durant cette période.</w:t>
      </w:r>
    </w:p>
    <w:p>
      <w:r>
        <w:rPr>
          <w:b/>
        </w:rPr>
        <w:t>E. 4.2.3</w:t>
      </w:r>
    </w:p>
    <w:p>
      <w:r>
        <w:t>S'agissant de la relation qu'il aurait menée, pendant plusieurs années, avec son ami étudiant, le Tribunal constate un manque de substance dans les propos du recourant. Il a ainsi décrit de manière extrêmement sommaire et caricaturale les débuts de leur relation, exposant qu'un jour, son compagnon lui avait expliqué ses intentions, qu'il avait immédiatement accepté sa proposition et qu'ils avaient ensuite passé toutes leurs journées ensemble, sauf les nuits (cf. p-v d'audition du 31 janvier 2017, R 30 à 39). De même, interrogé sur la façon dont ils avaient vécu leur relation durant leurs études, ses réponses sont restées très générales, l'intéressé se contentant d'alléguer qu'après que plusieurs personnes en aient eu connaissance, ils n'avaient plus vu beaucoup de monde, s'étaient souvent retrouvés à l'extérieur et avaient réduit leurs rencontres au sein de l'institut (cf. p-v précité, R 129 s). Cela dit, sachant que les relations homosexuelles sont taboues en Irak, il est peu crédible que le recourant ait pu entretenir une telle liaison, pendant de nombreuses années, sans être dénoncé, alors que plusieurs personnes, soit ses amis, voisins ainsi que les autres étudiants auraient, selon ses dires, été au courant et/ou se seraient douté de la réelle nature de sa relation avec son ami (cf. p-v d'audition du 31 janvier 2017, R 75). Dans ces circonstances, il apparaît également peu crédible qu'il prenne l'initiative d'inviter son compagnon au domicile familial pendant deux jours, s'exposant au risque que la réelle nature de leur relation soit révélée (cf. p-v précité, R 23 et 137 ss). A cela s'ajoute que si le recourant a certes indiqué avoir convenu avec son compagnon, avant son départ, qu'ils ne se contacteraient plus en attendant que « le problème se soit réglé », il est peu crédible qu'il n'ait pas essayé de l'informer qu'il avait quitté l'Irak et qu'il ne reviendrait pas au seul motif qu'il avait perdu son téléphone et, partant, son numéro (cf. p-v d'audition du 31 janvier 2017, R 83s. et 101). En effet, rien ne l'empêchait de le contacter via les réseaux sociaux ou, si ce n'était pas possible, par l'intermédiaire de l'un de leur ami commun, sans pour autant révéler la nature de leur relation (cf. p-v précité, R 85).</w:t>
      </w:r>
    </w:p>
    <w:p>
      <w:r>
        <w:rPr>
          <w:b/>
        </w:rPr>
        <w:t>E. 4.2.4</w:t>
      </w:r>
    </w:p>
    <w:p>
      <w:r>
        <w:t>Le recourant a, enfin, selon ses déclarations, quitté le Kurdistan irakien à bord d'un avion à destination d'Istanbul, muni de son passeport. Il n'est cependant pas crédible qu'il ait, depuis la Turquie, renvoyé son passeport à sa famille, alors qu'elle voulait s'en prendre à lui, ainsi qu'il le prétend (cf. p-v d'audition du 20 juillet 2015, chiffre 5.01 et p-v d'audition du 31 janvier 2017, R 6 ss).</w:t>
      </w:r>
    </w:p>
    <w:p>
      <w:r>
        <w:rPr>
          <w:b/>
        </w:rPr>
        <w:t>E. 4.3</w:t>
      </w:r>
    </w:p>
    <w:p>
      <w:r>
        <w:t>Compte tenu de ce qui précède, le recourant n'a pas établi avoir été exposé, avant son départ d'Irak, ou être exposé, à son retour dans ce pays, à des préjudices déterminants au sens de l'art. 3 LAsi en raison de sa prétendue homosexualité, de sorte que le recours doit être rejeté en tant qu'il conteste le refus de la reconnaissance de la qualité de réfugié et l'octroi de l'asile.</w:t>
      </w:r>
    </w:p>
    <w:p>
      <w:r>
        <w:rPr>
          <w:b/>
        </w:rPr>
        <w:t>E. 5</w:t>
      </w:r>
    </w:p>
    <w:p>
      <w:r>
        <w:t>Lorsqu'il rejette la demande d'asile ou qu'il refuse d'entrer en matière à ce sujet, le SEM prononce, en règle générale, le renvoi de Suisse et en ordonne l'exécution (art. 44 LAsi). Aucune exception à la règle générale du renvoi n'étant en l'occurrence réalisée, le Tribunal est tenu, de par la loi, de confirmer cette mesure. La décision rendue par le SEM quant au renvoi est ainsi confirmée.</w:t>
      </w:r>
    </w:p>
    <w:p>
      <w:r>
        <w:rPr>
          <w:b/>
        </w:rPr>
        <w:t>E. 6</w:t>
      </w:r>
    </w:p>
    <w:p>
      <w:r>
        <w:t>L'exécution du renvoi est ordonnée si elle est licite, raisonnablement exigible et possible. Si l'une de ces conditions fait défaut, l'admission provisoire doit être prononcée. Celle-ci est réglée par l'art. 83 de la loi sur les étrangers et l'intégration (LEI, RS 142.20), qui a remplacé, le 1er janvier 2019, l'art. 83 de l'ancienne loi sur les étrangers (LEtr), sans en modifier cependant le contenu.</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(art. 3 CEDH, RS 0.101)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le recourant n'ayant pas rendu vraisemblable qu'en cas de retour dans son pays d'origine, il serait exposé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En l'occurrence, le Tribunal relève que le recourant n'a pas, pour les motifs déjà exposés dans les considérants ci-avant,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7.6</w:t>
      </w:r>
    </w:p>
    <w:p>
      <w:r>
        <w:t>L'exécution du renvoi du recourant sous forme de refoulement ne transgresse donc aucun engagement de la Suisse relevant du droit international, de sorte qu'elle s'avère licite (art.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à 7.10 ainsi que ATAF 2011/50 consid. 8.1 à 8.3).</w:t>
      </w:r>
    </w:p>
    <w:p>
      <w:r>
        <w:rPr>
          <w:b/>
        </w:rPr>
        <w:t>E. 8.2</w:t>
      </w:r>
    </w:p>
    <w:p>
      <w:r>
        <w:t>S'agissant de l'Irak, le Tribunal a distingué, dans sa jurisprudence, la situation régnant dans les provinces kurdes du nord de celle du reste du pays et estimé que l'exécution du renvoi pouvait être raisonnablement exigée à destination de ces quatre provinces, pour autant que le requérant soit originaire de l'une d'elles ou qu'il y ait vécu pendant une longue période et qu'il y dispose d'un réseau social, précisant encore que, pour des familles avec enfants, l'exigibilité ne devait être admise qu'avec retenue (cf. ATAF 2008/5 consid. 7.5, en particulier consid. 7.5.8). Il a confirmé cette jurisprudence dans un arrêt de référence E-3737/2015 du 14 décembre 2015 (consid. 7.4.2 et 7.4.5), dans lequel il a retenu qu'en dépit des affrontements opposant alors les combattants de Daesh et les peshmergas en Irak, l'exécution du renvoi demeurait en principe exigible pour les personnes d'ethnie kurde, originaires des provinces de Dohuk, d'Erbil, de Sulaymaniya et de la nouvelle province de Halabja, ou y ayant vécu durant une longue période et y disposant d'un réseau social (famille, parenté ou amis), ou de liens avec les partis dominants. Cette jurisprudence reste en grande partie d'actualité. Le référendum sur l'indépendance de ces quatre provinces kurdes du 25 septembre 2017, organisé unilatéralement, a entraîné des mesures économiques répressives tant du gouvernement irakien que des Etats turc et iranien voisins. En dépit de la profonde crise politique et économique à laquelle la région autonome kurde d'Irak est de ce fait confrontée, les violences y demeurent relativement limitées (cf. notamment les arrêts du Tribunal D-2017/2019 du 16 juillet 2020, consid. 9.2 ; E-4302/2018 du 10 septembre 2018 et réf. cit., E-1770/2019 du 20 avril 2020 et D-6715/2018 du 13 novembre 2020, consid. 9.4.2).</w:t>
      </w:r>
    </w:p>
    <w:p>
      <w:r>
        <w:rPr>
          <w:b/>
        </w:rPr>
        <w:t>E. 8.3</w:t>
      </w:r>
    </w:p>
    <w:p>
      <w:r>
        <w:t>En l'occurrence, les exigences posées pour la reconnaissance du caractère raisonnablement exigible de l'exécution du renvoi vers la province de C._______, dont provient l'intéressé, sont remplies. En effet, il est d'ethnie kurde et originaire de cette région. De plus, il est jeune, sans charge de famille et n'a pas allégué de problèmes de santé particuliers. Il est au bénéfice d'un diplôme d'études supérieures et d'une expérience professionnelle en tant que (...). Il dispose, par ailleurs, d'un important réseau familial et social dans son pays, avec lequel il a gardé contact (sa soeur et son beau-frère qui ont financé son voyage jusqu'en Suisse notamment) et qui pourra, le cas échéant, le soutenir à son retour, soit autant de facteurs qui devraient lui permettre de se réinstaller dans le Kurdistan irakien sans rencontrer d'excessives difficultés.</w:t>
      </w:r>
    </w:p>
    <w:p>
      <w:r>
        <w:rPr>
          <w:b/>
        </w:rPr>
        <w:t>E. 8.4</w:t>
      </w:r>
    </w:p>
    <w:p>
      <w:r>
        <w:t>Pour ces motifs, l'exécution du renvoi doit être considérée comme raisonnablement exigible.</w:t>
      </w:r>
    </w:p>
    <w:p>
      <w:r>
        <w:rPr>
          <w:b/>
        </w:rPr>
        <w:t>E. 9</w:t>
      </w:r>
    </w:p>
    <w:p>
      <w:r>
        <w:t>Enfin, le recourant possède une carte d'identité nationale et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10</w:t>
      </w:r>
    </w:p>
    <w:p>
      <w:r>
        <w:t>La situation actuelle liée à la propagation du Covid-19 dans le monde ne justifie pas de surseoir au présent prononcé, dans la mesure où elle n'est pas amenée, en l'état des connaissances, à se prolonger sur une durée permettant de mettre l'intéressé au bénéfice de l'admission provisoire. Il doit toutefois en être tenu compte, de sorte que l'exécution du renvoi ne pourra avoir lieu que lorsqu'elle sera conforme aux plans de sécurité sanitaires décidés par les Etats concernés.</w:t>
      </w:r>
    </w:p>
    <w:p>
      <w:r>
        <w:rPr>
          <w:b/>
        </w:rPr>
        <w:t>E. 11</w:t>
      </w:r>
    </w:p>
    <w:p>
      <w:r>
        <w:t>Au regard de ce qui précède,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12</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