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E-3641/2011 vom 22. Mai 2012</w:t>
      </w:r>
    </w:p>
    <w:p>
      <w:r>
        <w:t>Bundesverwaltungsgericht, 2012-05-22, DE</w:t>
      </w:r>
    </w:p>
    <w:p>
      <w:r>
        <w:rPr>
          <w:b/>
        </w:rPr>
        <w:t xml:space="preserve">Quelle: </w:t>
      </w:r>
      <w:r>
        <w:t>https://mcp.opencaselaw.ch/entscheid/bvger_E-3641_2011</w:t>
      </w:r>
    </w:p>
    <w:p>
      <w:r>
        <w:t>FR: TAF E-3641/2011 du 22 mai 2012</w:t>
      </w:r>
    </w:p>
    <w:p>
      <w:r>
        <w:t>IT: TAF E-3641/2011 del 22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Durchsicht der Akten ergibt in der Tat, dass die Asylvorbringen des Beschwerdeführers klare Aussagewidersprüche aufweisen. Dies betrifft insbesondere seine angeblichen Kontakten mit dem CID sowie die Angaben zum Handel mit (...).</w:t>
      </w:r>
    </w:p>
    <w:p>
      <w:r>
        <w:rPr>
          <w:b/>
        </w:rPr>
        <w:t>E. 4.1.1</w:t>
      </w:r>
    </w:p>
    <w:p>
      <w:r>
        <w:t>Im EVZ hatte der Beschwerdeführer zu Protokoll gegeben, bis (...) 2008 Handel getrieben zu haben, während er bei der Anhörung angab, er habe nach dem (...) 2007, als er vom CID festgenommen und befragt worden sei, keine solchen Geschäfte mehr getätigt (vgl. EVZ-Protokoll S. 2 sowie Protokoll der Anhörung zu den Asylgründen S. 3 f.). Offensichtlich widersprüchlich sind die Vorbringen, welche das CID betreffen: Anlässlich der Summarbefragung im EVZ erklärte er, vor dem (...) 2007 nie Probleme mit Organisationen, Armee, Polizei oder Behörden seines Heimatstaates, demnach auch nicht mit dem CID, gehabt zu haben. Bei der Anhörung hingegen brachte er auf Frage der Hilfswerkvertreterin unvermittelt vor, er sei bereits 2000 vom CID festgenommen, verhört und geschlagen worden, und auch 2006 habe er Schwierigkeiten mit der gleichen Behörde gehabt (vgl. EVZ-Protokoll S. 5 f. sowie Protokoll der Anhörung zu den Asylgründen S. 8 f.).</w:t>
      </w:r>
    </w:p>
    <w:p>
      <w:r>
        <w:rPr>
          <w:b/>
        </w:rPr>
        <w:t>E. 4.1.2</w:t>
      </w:r>
    </w:p>
    <w:p>
      <w:r>
        <w:t>Der Beschwerdeführers macht mit Bezug auf die Schilderungen seiner Tätigkeit als (...)händler geltend, es handle sich hierbei um ein blosses Versehen und das BFM habe dieser Unstimmigkeit einen viel zu hohen Stellenwert eingeräumt (vgl. Beschwerde S. 4). Was die Behelligungen durch das CID anbelange, so sei er im EVZ aufgefordert worden, sich kurz zu halten, und er habe sich zunächst auch bei der eigentlichen Anhörung darauf konzentriert, die ihm gestellten Fragen kurz zu beantworten. Erst als die Hilfswerksvertreterin Zusatzfragen zu stellen begonnen habe, sei er dazu übergegangen, auch die früheren Erlebnisse mit dem CID zu schildern. Nachdem das BFM ihn - unter Missachtung der Untersuchungsmaxime - nicht auf den vermeintlichen Aussagewiderspruch angesprochen habe, sei der Schluss auf fehlende Glaubhaftigkeit deplatziert und nicht nachvollziehbar.</w:t>
      </w:r>
    </w:p>
    <w:p>
      <w:r>
        <w:rPr>
          <w:b/>
        </w:rPr>
        <w:t>E. 4.1.3</w:t>
      </w:r>
    </w:p>
    <w:p>
      <w:r>
        <w:t>Gemäss konstanter Praxis des Bundesverwaltungsgerichts kommt den bei der Erstbefragung im EVZ protokollierten Aussagen angesichts des summarischen Charakters dieser Anhörung für die Beurteilung der Glaubwürdigkeit der vorgebrachten Asylgründe nur beschränkter Beweiswert zu. Widersprüche dürfen respektive müssen für die Beurteilung der Glaubwürdigkeit berücksichtigt werden, wenn klare Aussagen in der Empfangsstelle in wesentlichen Punkten der Asylbegründung von den späteren Aussagen in der Befragung beim Kanton oder beim BFF diametral abweichen, oder wenn bestimmte Ereignisse oder Befürchtungen, welche später als zentrale Asylgründe genannt werden, nicht bereits in der Summaranhörung zumindest ansatzweise erwähnt werden (vgl. bereits Entscheidungen und Mitteilungen der vormaligen Schweizerischen Asylrekurskommission [EMARK] 1993 Nr. 3 S. 13 f.).</w:t>
      </w:r>
    </w:p>
    <w:p>
      <w:r>
        <w:rPr>
          <w:b/>
        </w:rPr>
        <w:t>E. 4.1.4</w:t>
      </w:r>
    </w:p>
    <w:p>
      <w:r>
        <w:t>Dem Beschwerdeführer ist insoweit beizupflichten, als seine beruflichen Tätigkeiten nicht den unmittelbaren Kern der Begründung seines Asylgesuchs betreffen. Nachdem er aber aufgrund der Behelligungen durch das CID einen eigentlichen Berufswechsel vorgenommen haben will - er habe den Handel mit (...) aus Gründen der persönlichen Sicherheit eingestellt und nur noch "kleinere Sachen gemacht, wie (...) reparieren" (vgl. Protokoll der Anhörung zu den Asylgründen S. 4) -, besteht durchaus ein derart enge Beziehung zu den Asylvorbringen, dass in diesem Punkt eine widerspruchsfreie Schilderung hätte erwartet werden dürfen.</w:t>
      </w:r>
    </w:p>
    <w:p>
      <w:r>
        <w:rPr>
          <w:b/>
        </w:rPr>
        <w:t>E. 4.1.5</w:t>
      </w:r>
    </w:p>
    <w:p>
      <w:r>
        <w:t>Die angeblichen Behelligungen (Festnahmen, Verhöre, Misshandlungen) durch das CID stellen demgegenüber zweifellos die zentrale Asylbegründung dar. Die Nichterwähnung der entsprechenden Vorfälle, die sich in den Jahren 2000 und 2006 abgespielt haben sollen, während der gesamten Erstbefragung und des grössten Teils der zweiten Anhörung lässt nach den vorstehenden Ausführungen nur den Schluss zu, dass diese Ereignisse in Wirklichkeit nicht passiert sind. Hinzu kommt, dass es dabei nicht nur um ein verspätetes Vorbringen handelt; vielmehr hatte der Beschwerdeführer drei konkrete Fragen, ob er vor (...) 2007 solche Probleme erlebt habe ("Hatten Sie vor dem (...) 2007 je Probleme im Heimatstaat?", "Hatten Sie ausser dem Erwähnten jemals Probleme mit Organisationen, Armee, Polizei oder Behörden in Ihrem Land?", "Waren Sie sonst je in Haft?") dreimal unmissverständlich verneint (vgl. Protokoll EVZ S. 6).</w:t>
      </w:r>
    </w:p>
    <w:p>
      <w:r>
        <w:rPr>
          <w:b/>
        </w:rPr>
        <w:t>E. 4.1.6</w:t>
      </w:r>
    </w:p>
    <w:p>
      <w:r>
        <w:t>Was den geltend gemachten Nichtvorhalt der Aussagewidersprüche anbelangt, ist festzuhalten, dass der Beschwerdeführer umfassend auf die unterschiedlichen Aussagen zur angeblichen Aufgabe des (...)handels angesprochen worden ist (und diese offensichtlich nicht plausibel erklären konnte). Er weist zwar in der Beschwerde zu Recht darauf hin, dass er mit den Widersprüchen bezüglich der angeblichen CID-Festnahmen von 2000 und 2006 nicht konfrontiert worden ist. Vertiefungsfragen zu diesem Punkt wären auch nach Ansicht des Gerichts sinnvoll und an sich wünschenswert gewesen. Allerdings ist einerseits zu berücksichtigen, dass die Widersprüche erst durch Aussagen entstanden sind, die am Ende der Befragung - respektive sogar nach Abschluss der Anhörung zu den Asylgründen, nämlich erst beim rechtlichen Gehör zu einer allfälligen Wegweisung - protokolliert wurden (vgl. Protokoll der Anhörung S. 8 und 9). Andererseits ist an dieser Stelle festzuhalten, dass der Grundsatz, wonach Asylsuchende mit Widersprüchen in ihren eigenen Aussagen nach Möglichkeit zu konfrontieren sind, nach Lehre und Praxis keinen eigentlichen verfahrensrechtlichen Anspruch im Sinn des rechtlichen Gehörs darstellt (vgl. EMARK 1994 Nr. 13 E. 3b). Dass das BFM in diesem Zusammenhang von einer vollständigen Abklärung des rechtserheblichen Sachverhalts ausgegangen ist, ist nach Auffassung des Bundesverwaltungsgerichts bei der vorliegenden Aktenlage insgesamt nicht zu beanstanden.</w:t>
      </w:r>
    </w:p>
    <w:p>
      <w:r>
        <w:rPr>
          <w:b/>
        </w:rPr>
        <w:t>E. 4.2</w:t>
      </w:r>
    </w:p>
    <w:p>
      <w:r>
        <w:t>Das BFM argumentiert zu Recht weiter, der CID hätte sich bei einem tatsächlichen Verdacht der LTTE-Unterstützung gegen den Beschwerdeführer nicht darauf beschränkt, diesen auf einen Monat später vorzuladen und nach Nichtbefolgung dieses Aufgebots bloss zu beschatten. Dass dieses Verhalten der staatlichen Strafverfolgungsbehörde unlogisch ist, wird auch in der Beschwerde nicht bestritten (vgl. dort S. 5 f.).</w:t>
      </w:r>
    </w:p>
    <w:p>
      <w:r>
        <w:rPr>
          <w:b/>
        </w:rPr>
        <w:t>E. 4.3</w:t>
      </w:r>
    </w:p>
    <w:p>
      <w:r>
        <w:t>Schliesslich muss die protokollierte Schilderung der angeblichen Verfolgung im Heimatstaat nach Auffassung des Gerichts als wenig substanziiert und teilweise auch lebensfremd bezeichnet werden. Die Aussagen des Beschwerdeführers sind auch sonst nicht von Realitätskennzeichen geprägt.</w:t>
      </w:r>
    </w:p>
    <w:p>
      <w:r>
        <w:rPr>
          <w:b/>
        </w:rPr>
        <w:t>E. 4.4</w:t>
      </w:r>
    </w:p>
    <w:p>
      <w:r>
        <w:t>Die Würdigung der gesamten Akten lässt nur den Schluss zu, dass die Asylvorbringen unglaubhaft sind. Bei dieser Sachlage erübrigt es sich, auf die weiteren Ausführungen in der Beschwerde einzugehen, da diese nicht geeignet sind, zu einer anderen rechtlichen Würdigung der Aktenlage zu führen.</w:t>
      </w:r>
    </w:p>
    <w:p>
      <w:r>
        <w:rPr>
          <w:b/>
        </w:rPr>
        <w:t>E. 4.5</w:t>
      </w:r>
    </w:p>
    <w:p>
      <w:r>
        <w:t>Das BFM hat das Asylgesuch nach dem Gesagten zu Recht und mit zutreffender Begründung abgelehnt. Für die beantragte Rückweisung der Sache an die Vorinstanz zum neuen Entscheid (insbesondere der Frage der flüchtlingsrechtlichen Relevanz der Asylvorbringen), besteht keine Veranlassung.</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(vgl. BVGE 2009/50 E. 9, mit weiteren Hinweisen).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Seit der totalen militärischen Niederlage und Zerschlagung der LTTE im Mai 2009 hat sich die die politische und allgemeine Sicherheitslage in Sri Lanka deutlich normalisiert und stabilisiert. Die entsprechende Anpassung der Praxis des BFM im Bereich der Zumutbarkeit des Wegweisungsvollzugs hat das Bundesverwaltungsgericht in einem zur Publikation (unter BVGE 2011/24) vorgesehenen Grundsatzurteil BVGE E-6220/2006 vom 27. Oktober 2011 geprüft und bestätigt. Es hat dabei ebenfalls festgestellt, dass sich die Sicherheitslage in Sri Lanka seit Beendigung des militärischen Konflikts zwischen der sri-lankischen Armee und den LTTE erheblich verbessert hat. Der Wegweisungsvollzug ist daher grundsätzlich zumutbar hinsichtlich des gesamten Gebiets der Ostprovinz und auch hinsichtlich der Nordprovinz, dort allerdings mit Ausnahme des so genannten Vanni-Gebiets. Angesichts der im humanitären und wirtschaftlichen Bereich nach wie vor fragilen Lage ist im Hinblick auf den Vollzug der Wegweisung in den Norden und Osten des Landes eine Beurteilung der individuellen Zumutbarkeitskriterien vorzunehmen. Neben den allgemeinen Faktoren - wie sozioökonomische und medizinische Aspekte, dem Kindeswohl usw. - ist auch dem zeitlichen Element gebührend Rechnung zu tragen (vgl. a.a.O. E. 13.2.1). Namentlich die Existenz eines tragfähigen Beziehungsnetzes und die konkreten Möglichkeiten der Sicherung eines Existenzminimums sowie der Wohnsituation sind massgebliche Faktoren.</w:t>
      </w:r>
    </w:p>
    <w:p>
      <w:r>
        <w:rPr>
          <w:b/>
        </w:rPr>
        <w:t>E. 6.3.2</w:t>
      </w:r>
    </w:p>
    <w:p>
      <w:r>
        <w:t>Eine Situation, welche den Beschwerdeführer als "Gewalt-oder de-facto-Flüchtling" qualifizieren würde, ist nach dem Gesagten nicht gegeben. Die allgemeine Lage in Sri Lanka ist heute weder durch Krieg, Bürgerkrieg noch durch eine Situation allgemeiner Gewalt gekennzeichnet, aufgrund derer die Zivilbevölkerung allgemein als konkret gefährdet bezeichnet werden müsste.</w:t>
      </w:r>
    </w:p>
    <w:p>
      <w:r>
        <w:rPr>
          <w:b/>
        </w:rPr>
        <w:t>E. 6.3.3</w:t>
      </w:r>
    </w:p>
    <w:p>
      <w:r>
        <w:t>Aufgrund der persönlichen Verhältnisse des Beschwerdeführers ist vorliegend mit Bezug auf die Frage der Zumutbarkeit der Rückkehr vom Vorhandensein individuell begünstigender Faktoren auszugehen. Auch diesbezüglich ist deshalb der Vorinstanz beizupflichten. Zwar stammt der Beschwerdeführer ursprünglich aus B._______, das im Vanni-Gebiet liegt; seit 1997 lebte er aber in zwei Vororten von Vavuniya, die ausserhalb des Vanni (gemäss der Definition in E. 13.2.2 des erwähnten Grundsatzurteils) liegen. Es steht dem - soweit den Akten zu entnehmen ist - gesunden Beschwerdeführer offen und ist ihm zuzumuten, sich wieder in Vavuniya niederzulassen, zumal dort über ein familiäres Beziehungsnetz (Ehefrau, Kinder, Mutter, Geschwister) und angesichts seines Berufs zweifellos auch über soziale Anknüpfungspunkte verfügt. Angesichts seiner Berufserfahrung wird es ihm möglich sein, sich in Sri Lanka wieder eine Existenz aufzubauen.</w:t>
      </w:r>
    </w:p>
    <w:p>
      <w:r>
        <w:rPr>
          <w:b/>
        </w:rPr>
        <w:t>E. 6.3.4</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bezeichnet. Damit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Kosten sind durch den in derselben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