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E-3638/2022 vom 26. Juli 2022</w:t>
      </w:r>
    </w:p>
    <w:p>
      <w:r>
        <w:t>Bundesverwaltungsgericht, 2022-07-26, DE</w:t>
      </w:r>
    </w:p>
    <w:p>
      <w:r>
        <w:rPr>
          <w:b/>
        </w:rPr>
        <w:t xml:space="preserve">Quelle: </w:t>
      </w:r>
      <w:r>
        <w:t>https://mcp.opencaselaw.ch/entscheid/bvger_E-3638_2022_d20220726</w:t>
      </w:r>
    </w:p>
    <w:p>
      <w:r>
        <w:t>FR: TAF E-3638/2022 du 26 juillet 2022</w:t>
      </w:r>
    </w:p>
    <w:p>
      <w:r>
        <w:t>IT: TAF E-3638/2022 del 26 luglio 2022</w:t>
      </w:r>
    </w:p>
    <w:p>
      <w:pPr>
        <w:pStyle w:val="Heading2"/>
      </w:pPr>
      <w:r>
        <w:t>Regeste</w:t>
      </w:r>
    </w:p>
    <w:p>
      <w:r>
        <w:t>Verweigerung vor&amp;uuml;bergehender Schutz | Verweigerung vorübergehender Schutz; Verfügung des SEM vom 26. Juli 2022. Entscheid zur Publikation vorgesehen.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111a Abs. 1 AsylG (i.V.m. Art. 72) wurde auf die Durchfüh- rung eines Schriftenwechsels verzichtet.</w:t>
      </w:r>
    </w:p>
    <w:p>
      <w:r>
        <w:t>E-3638/2022 Seite 4</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die Beschwerdeführenden gehörten nicht zu der vom Bun- desrat definierten Gruppe schutzberechtigter Personen, da sie nebst der ukrainischen Staatsangehörigkeit auch über eine kanadische Staatsbür- gerschaft verfügten und somit die Möglichkeit hätten, sich in Kanada nie- derzulassen. Die strikte Ablehnung der Covid-19-Impfung und das Fehlen von Verwandten und Freunden in Kanada vermöchten die Annahme einer sicheren Rückkehr nach Kanada nicht umzustossen. Bei den nationalen</w:t>
      </w:r>
    </w:p>
    <w:p>
      <w:r>
        <w:t>E-3638/2022 Seite 5 Massnahmen gegen die Verbreitung der Covid-19-Pandemie sowie den daraus folgenden Einschränkungen des Privatlebens handle es sich um rechtsstaatlich legitime Regelungen der Regierung, welche die gesamte kanadische Bevölkerung gleichermassen beträfen. Diese seien überdies inzwischen soweit gelockert worden, dass man sich auch ohne eine Imp- fung am sozialen Leben in Kanada beteiligen könne. Auch die Reisebe- stimmungen seien angepasst worden und Flüge könnten unter Einhaltung der geltenden Bestimmungen auch ohne eine Impfung angetreten werden. Das Engagement des Beschwerdeführers für die F.______ vermöge eben- falls kein Aufenthaltsrecht in der Schweiz zu begründen, zeuge aber von Tüchtigkeit. Es sei daher davon auszugehen, dass er in Kanada bald eine Anstellung finde. Betreffend die Kritik am legalen Status von Marihuana in Kanada sei anzumerken, dass trotz der Legalisierung Einschränkungen und Regeln vorherrschten, die Minderjährige vor einem Substanzmiss- brauch schützten.</w:t>
      </w:r>
    </w:p>
    <w:p>
      <w:r>
        <w:rPr>
          <w:b/>
        </w:rPr>
        <w:t>E. 5.2</w:t>
      </w:r>
    </w:p>
    <w:p>
      <w:r>
        <w:t>In der Beschwerdeschrift machen die Beschwerdeführenden nament- lich geltend, sie würden nicht über die finanziellen Mittel verfügen, um sich in Kanada ein Leben aufbauen zu können. Als Kanadier würden sie auch nicht von der Unterstützung profitieren, die den übrigen Schutzsuchenden aus der Ukraine zukäme. Sie hätten Kanada im Jahr 2020 verlassen, da der Beschwerdeführer keinen Zugang zu medizinischer Versorgung seines verletzten (…) gehabt habe. Ausserdem habe er hier in der Schweiz Aus- sicht auf eine Festanstellung und die Kinder würden hier zur Schule gehen, weshalb ein erneuter Umzug nicht zumutbar wäre. Sie würden im Übrigen die Voraussetzungen erfüllen, welche an schutzberechtigte Personen ge- stellt würden.</w:t>
      </w:r>
    </w:p>
    <w:p>
      <w:r>
        <w:rPr>
          <w:b/>
        </w:rPr>
        <w:t>E. 6.1</w:t>
      </w:r>
    </w:p>
    <w:p>
      <w:r>
        <w:t>Der Bundesrat hält – wie dargelegt – in der Allgemeinverfügung vom</w:t>
      </w:r>
    </w:p>
    <w:p>
      <w:r>
        <w:rPr>
          <w:b/>
        </w:rPr>
        <w:t>E. 6.2</w:t>
      </w:r>
    </w:p>
    <w:p>
      <w:r>
        <w:t>Für die Normen des Verwaltungsrechts gelten die üblichen Methoden der Gesetzesauslegung (HÄFELIN/MÜLLER/UHLMANN, Allgemeines Verwal- tungsrecht, 8. Aufl., Zürich/Basel/Genf 2020, Rz. 177). Nach der bundes- gerichtlichen Rechtsprechung ist ein Gesetz in erster Linie nach Wortlaut, Sinn und Zweck und den ihm zu Grunde liegenden Wertungen auf der Ba- 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Dabei geht das Bundesgericht pragmatisch vor und lehnt es namentlich ab, die einzelnen Auslegungselemente einer hierarchischen Prioritätsordnung zu unterstellen (BGE 140 II 509 E. 2.6 m.H.). Nach der Rechtsprechung des Bundesgerichts besteht eine Lücke im Ge- setz, wenn sich eine Regelung als unvollständig erweist, weil sie jede Ant- wort auf die sich stellende Rechtsfrage schuldig bleibt oder eine Antwort gibt, die aber als sachlich unhaltbar angesehen werden muss. Hat der Ge- setzgeber eine Rechtsfrage nicht übersehen, sondern stillschweigend – im negativen Sinn – mitentschieden (qualifiziertes Schweigen), bleibt kein Raum für richterliche Lückenfüllung. Eine echte Gesetzeslücke liegt nach der Rechtsprechung des Bundesgerichts dann vor, wenn der Gesetzgeber etwas zu regeln unterlassen hat, was er hätte regeln sollen, und dem Ge- setz diesbezüglich weder nach seinem Wortlaut noch nach dem durch Aus- legung zu ermittelnden Inhalt eine Vorschrift entnommen werden kann. Von einer unechten oder rechtspolitischen Lücke ist demgegenüber die Rede, wenn dem Gesetz zwar eine Antwort, aber keine befriedigende, zu entneh- men ist (vgl. zum Ganzen BGE 138 II 1 E. 4.2 m.H.). Aufgrund des Rechts- verweigerungsverbots sind die rechtsanwendenden Organe dazu ver- pflichtet, echte Lücken zu füllen (HÄFELIN/MÜLLER/UHLMANN, a.a.O., Rz. 206 f.). Unechte zu korrigieren, ist ihnen nach traditioneller Auffassung grundsätzlich verwehrt, es sei denn, die Berufung auf den als massgeblich erachteten Wortsinn der Norm stelle einen Rechtsmissbrauch dar (vgl. BGE 141 V 481 E. 3.1 m.H.).</w:t>
      </w:r>
    </w:p>
    <w:p>
      <w:r>
        <w:t>E-3638/2022 Seite 7 Von der Berichtigung unechter Lücken zu unterscheiden ist der zulässige Vorgang richterlicher Rechtsfindung, bei welchem ein vordergründig klarer, aber zu weit gefasster Wortlaut einer Norm auf den Anwendungsbereich reduziert wird, welcher der ratio legis entspricht. Dies wird als teleologische Reduktion bezeichnet (vgl. BGE 141 V 191 E. 3 m.H., 140 I 305 E. 6.2 m.H.; Urteil des BVGer F-512/2019 vom 9. September 2020 E. 7.1 m.H.; grundlegend BGE 121 III 219 E. 1d/aa).</w:t>
      </w:r>
    </w:p>
    <w:p>
      <w:r>
        <w:rPr>
          <w:b/>
        </w:rPr>
        <w:t>E. 6.3</w:t>
      </w:r>
    </w:p>
    <w:p>
      <w:r>
        <w:t>Weder das Asylgesetz noch die Gesetzesmaterialien äussern sich aus- drücklich zur Rechtslage von Doppelbürgern oder binationalen Familien und Paaren bei der Gewährung vorübergehenden Schutzes. Zu beachten ist allerdings, dass dem Asylgesetz der Grundsatz der Subsidiarität asyl- rechtlichen Schutzes zugrunde liegt. Dieser trägt unter anderem dem Um- stand Rechnung, dass Asylsuchende, die mehrere Staatsangehörigkeiten besitzen, nicht auf den Schutz eines Drittstaates angewiesen sind, sofern sie in einem der Staaten, dessen Staatsangehörigkeit sie besitzen, Schutz vor Verfolgung finden können (vgl. Art. 1 A Ziff. 2 Abs. 2 des Abkommens vom 28. Juli 1951 über die Rechtsstellung der Flüchtlinge [FK, SR 0.142.30]; BVGE 2010/41 E. 6.5.1 m.H. auf EMARK 2000/15 E. 12a; so auch schon Walter Kälin, Grundriss des Asylverfahrens, Basel 1990, Ziff. III 2b, S. 34 f. m.H.). Nichts anderes kann für die Gewährung vorübergehen- den Schutzes gemäss Art. 4 AsylG gelten. Würden Doppelbürgerinnen und -bürger, welche sowohl die ukrainische als auch die Staatsangehörigkeit eines weiteren (verfolgungssicheren) Heimatstaates besitzen, in der Schweiz vorübergehenden Schutz erhalten, wären sie besser gestellt als Asylsuchende, welche die gleichen Staatsbürgerschaften besitzen und in der Schweiz um Schutz vor Verfolgung suchen: Letzteren würde der Schutz verweigert mit der Begründung, dass sie gegen die Verfolgung durch den einen ihrer Heimatstaaten den Schutz durch den anderen ihrer Heimatstaaten beanspruchen können (vgl. Art. 1 A Ziff. 2 Abs. 2 FK). Eine solche Besserstellung von Schutzsuchenden im Sinne von Art. 4 AsylG wäre stossend und nicht im Sinne des Gesetzgebers. Der Wortlaut von Ziff. I Bst. a der Allgemeinverfügung ist folglich per teleologischer Re- duktion so auszulegen, dass sie dem Sinn und Zweck des vor- übergehenden Schutzes und auch dem im Asyl- und Flüchtlingsrecht gel- tenden Subsidiaritätsprinzip entspricht. Daraus folgt im Verfahren um vor- übergehenden Schutz, dass eine Person ukrainischer Staatbürgerschaft, welche vor dem 24. Februar 2022 in der Ukraine wohnhaft war, grundsätz- lich nicht auf den Schutz der Schweiz angewiesen und entsprechend auch nicht als schutzbedürftig im Sinne von Art. 4 AsyIG zu bezeichnen ist, wenn</w:t>
      </w:r>
    </w:p>
    <w:p>
      <w:r>
        <w:t>E-3638/2022 Seite 8 für sie eine valable Schutzalternative ausserhalb der Ukraine bejaht wer- den kann.</w:t>
      </w:r>
    </w:p>
    <w:p>
      <w:r>
        <w:rPr>
          <w:b/>
        </w:rPr>
        <w:t>E. 6.4</w:t>
      </w:r>
    </w:p>
    <w:p>
      <w:r>
        <w:t>Vorliegend ist unbestritten, dass die Beschwerdeführenden neben der ukrainischen auch die kanadische Staatsbürgerschaft besitzen. Den an- lässlich der Befragungen vom 23. Juni 2022 protokollierten Ausführungen ist zu entnehmen, dass einer dauerhaften Rückkehr in den (zweiten) Hei- matstaat Kanada unter dem Aspekt der Sicherheit nichts entgegensteht. Die Beschwerdeschrift vermag diese Auffassung nicht in Frage zu stellen. Die Schwierigkeiten, welche sich aus der Weigerung ergeben, sich gegen das Covid-19-Virus zu impfen, sind vorliegend nicht relevant, zumal – wie das SEM richtig festhält – die Regelungen in Kanada die gesamte Bevöl- kerung in gleicher Weise betreffen und sie zudem gelockert wurden. Die Impfflicht sowie sämtliche Coronamassnahmen wurden per Ende Septem- ber 2022 selbst für Einreisende aufgehoben (vgl. Das Coronavirus und die eTA Kanada, visumantrag.de/kanada/corona, abgerufen am 5. Dezember 2022). Auch die Möglichkeit, in Kanada legal Marihuana kaufen und kon- sumieren zu können, vermag an dieser Einschätzung nichts zu ändern.</w:t>
      </w:r>
    </w:p>
    <w:p>
      <w:r>
        <w:rPr>
          <w:b/>
        </w:rPr>
        <w:t>E. 6.5</w:t>
      </w:r>
    </w:p>
    <w:p>
      <w:r>
        <w:t>Nach dem Gesagten ist festzuhalten, dass die Beschwerdeführenden die Voraussetzungen für die Gewährung des vorübergehenden Schutzes nicht erfüllen, und das SEM das Gesuch zu Recht abgelehnt. 7. Die Ablehnung des Gesuchs um Gewährung des vorübergehenden Schut- zes hat in der Regel die Wegweisung aus der Schweiz zur Folge (Art. 69 Abs. 4 AsylG). Da den Beschwerdeführenden vorliegend keine Aufenthalts- bewilligung erteilt wurde und zudem kein Anspruch auf Erteilung einer sol- chen besteht (vgl. BVGE 2013/37 E. 4.4; 2009/50 E. 9, je m.w.H.), steht die verfügte Wegweisung im Einklang mit den gesetzlichen Bestimmungen und wurde demnach von der Vorinstanz ebenfalls zu Recht angeordnet. 8. 8.1 Ist der Vollzug der Wegweisung nicht zulässig, nicht zumutbar oder nicht möglich, so regelt das SEM das Anwesenheitsverhältnis nach den gesetzlichen Bestimmungen über die vorläufige Aufnahme (vgl. Art. 69 Abs. 4 AsylG; Art. 83 Abs. 1 AIG [SR 142.20]).</w:t>
      </w:r>
    </w:p>
    <w:p>
      <w:r>
        <w:t>E-3638/2022 Seite 9 8.2 8.2.1 Der Vollzug ist nicht zulässig, wenn völkerrechtliche Verpflichtungen der Schweiz einer Weiterreise der Ausländerin oder des Ausländers in den Heimat-, Herkunfts- oder einen Drittstaat entgegenstehen (Art. 83 Abs. 3 AIG). 8.2.2 Die Beschwerdeführenden haben in der Schweiz kein Asylgesuch gestellt. Den Akten sind demnach keine Hinweise auf eine Verletzung des flüchtlingsrechtlichen Refoulement-Verbots zu entnehmen. Sodann erge- 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 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28. Februar 2008, Grosse Kammer 37201/06, §§ 124–127 m.w.H.). 8.2.3 Auch die allgemeine Menschenrechtssituation in Kanada lässt den Wegweisungsvollzug zum heutigen Zeitpunkt nicht als unzulässig erschei- nen. 8.2.4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Das Gericht schliesst sich auch der Schlussfolgerung der Vorinstanz zur Zumutbarkeit des Wegweisungsvollzuges an. Weder die in Kanada herrschende politische Situation noch andere Gründe vermögen gegen die Zumutbarkeit der Rückführung der Beschwerdeführenden in den Heimat- staat Kanada sprechen. Die Beschwerdeführenden haben acht Jahre ihres</w:t>
      </w:r>
    </w:p>
    <w:p>
      <w:r>
        <w:t>E-3638/2022 Seite 10 Lebens dort verbracht und die Kinder sind dort geboren. Es ist – wie das SEM ebenfalls zu Recht darlegt – davon auszugehen, dass die Beschwer- deführenden in Kanada über ein gewisses Beziehungsnetz verfügen, das sie bei der Reintegration unterstützen kann. Ausserdem hält der Beschwer- deführer selbst fest, dass in Kanada viele Ukrainer leben würden (vgl. Be- fragungsprotokoll F7, SEM-Akte 1177587-6/4). Die Beschwerdeführerin ist ausgebildete (…) und der Beschwerdeführer ist (…). Beiden sollte es somit möglich sein, sich in Kanada auch in beruflicher Hinsicht wieder einzuglie- dern und für ein wirtschaftliches Auskommen der Familie zu sorgen. Den Kindern ist es überdies möglich, in Kanada die Schule zu besuchen. Die medizinische Versorgungslage in Kanada kann als sehr gut bezeichnet werden und der Zugang zu medizinischen Leistungen ist gewährleistet. Die medizinische Versorgung ist überdies für alle kanadischen Staatsangehö- rigen kostenlos (vgl. The Commonwealth Fund, International Health Care System Profiles – Canada, www.commonwealthfund.org/international- health-policy-center/countries/canada, zuletzt abgerufen am 5. Dezember 2022). Nach dem Gesagten erweist sich der Vollzug der Wegweisung auch als zumutbar. 8.4 Schliesslich obliegt es den Beschwerdeführenden, sich bei der zustän- digen Vertretung des Heimatstaates die für eine Rückkehr notwendigen Reisedokumente zu beschaffen (vgl. Art 72 i.V.m.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t>E-3638/2022 Seite 11 10. 10.1 Die Gesuche um Gewährung der unentgeltlichen Prozessführung und amtlichen Rechtsverbeiständung sind unbesehen der finanziellen Verhält- nisse der Beschwerdeführenden abzuweisen, da die Beschwerde – ge- mäss den vorstehenden Erwägungen – als aussichtslos zu bezeichnen ist und es daher an einer gesetzlichen Grundlage zu deren Gewährung fehlt. 10.2 Bei diesem Ausgang des Verfahrens sind die Kosten von Fr. 750.– (Art. 1–3 des Reglements vom 21. Februar 2008 über die Kosten und Ent- schädigungen vor dem Bundesverwaltungsgericht [VGKE, SR 173.320.2]) den Beschwerdeführenden aufzuerlegen (Art. 63 Abs. 1 VwVG). (Dispositiv nächste Seite)</w:t>
      </w:r>
    </w:p>
    <w:p>
      <w:r>
        <w:t>E-3638/2022 Seite 12</w:t>
      </w:r>
    </w:p>
    <w:p>
      <w:r>
        <w:rPr>
          <w:b/>
        </w:rPr>
        <w:t>E. 7</w:t>
      </w:r>
    </w:p>
    <w:p>
      <w:r>
        <w:t>Die Ablehnung des Gesuchs um Gewährung des vorübergehenden Schutzes hat in der Regel die Wegweisung aus der Schweiz zur Folge (Art. 69 Abs. 4 AsylG). Da den Beschwerdeführenden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in der Schweiz kein Asylgesuch gestellt. Den Akten sind demnach keine Hinweise auf eine Verletzung des flüchtlingsrechtlichen Refoulement-Verbots zu entnehmen.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w:t>
      </w:r>
    </w:p>
    <w:p>
      <w:r>
        <w:rPr>
          <w:b/>
        </w:rPr>
        <w:t>E. 8.2.3</w:t>
      </w:r>
    </w:p>
    <w:p>
      <w:r>
        <w:t>Auch die allgemeine Menschenrechtssituation in Kanada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Gericht schliesst sich auch der Schlussfolgerung der Vorinstanz zur Zumutbarkeit des Wegweisungsvollzuges an. Weder die in Kanada herrschende politische Situation noch andere Gründe vermögen gegen die Zumutbarkeit der Rückführung der Beschwerdeführenden in den Heimatstaat Kanada sprechen. Die Beschwerdeführenden haben acht Jahre ihres Lebens dort verbracht und die Kinder sind dort geboren. Es ist - wie das SEM ebenfalls zu Recht darlegt - davon auszugehen, dass die Beschwerdeführenden in Kanada über ein gewisses Beziehungsnetz verfügen, das sie bei der Reintegration unterstützen kann. Ausserdem hält der Beschwerdeführer selbst fest, dass in Kanada viele Ukrainer leben würden (vgl. Befragungsprotokoll F7, SEM-Akte 1177587-6/4). Die Beschwerdeführerin ist ausgebildete (...) und der Beschwerdeführer ist (...). Beiden sollte es somit möglich sein, sich in Kanada auch in beruflicher Hinsicht wieder einzugliedern und für ein wirtschaftliches Auskommen der Familie zu sorgen. Den Kindern ist es überdies möglich, in Kanada die Schule zu besuchen. Die medizinische Versorgungslage in Kanada kann als sehr gut bezeichnet werden und der Zugang zu medizinischen Leistungen ist gewährleistet. Die medizinische Versorgung ist überdies für alle kanadischen Staatsangehörigen kostenlos (vgl. The Commonwealth Fund, International Health Care System Profiles - Canada, www.commonwealthfund.org/international-health-policy-center/countries/canada, zuletzt abgerufen am 5. Dezember 2022).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10.1</w:t>
      </w:r>
    </w:p>
    <w:p>
      <w:r>
        <w:t>Die Gesuche um Gewährung der unentgeltlichen Prozessführung und amtlichen Rechtsverbeiständung sind unbesehen der finanziellen Verhältnisse der Beschwerdeführenden abzuweisen, da die Beschwerde - gemäss den vorstehenden Erwägungen - als aussichtslos zu bezeichnen ist und es daher an einer gesetzlichen Grundlage zu deren Gewährung fehlt.</w:t>
      </w:r>
    </w:p>
    <w:p>
      <w:r>
        <w:rPr>
          <w:b/>
        </w:rPr>
        <w:t>E. 10.2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r>
        <w:rPr>
          <w:b/>
        </w:rPr>
        <w:t>E. 11</w:t>
      </w:r>
    </w:p>
    <w:p>
      <w:r>
        <w:t>März 2022 fest, dass schutzsuchende ukrainische Staatsbürgerinnen und -bürger und ihre Familienangehörige, welche vor dem 24. Februar 2022 in der Ukraine wohnhaft waren, Anspruch auf Gewährung des vor- übergehenden Schutzes haben (Ziff. I Bst. a). Ob dieser Kategorie nur die Personen ukrainischer Staatsangehörigkeit zuzuordnen sind, die keine weitere Staatsangehörigkeit besitzen, lässt sich dem Wortlaut der Bestim- mung nicht entnehmen. Gemäss Praxis des SEM erhalten Staatsangehö- rige aus EU- und EFTA-Staaten sowie Staatsangehörige des Vereinigten Königreichs, von Kanada, Neuseeland, Australien und den USA sowie de- ren Familienangehörige grundsätzlich keinen vorübergehenden Schutz in der Schweiz (vgl. betreffend binationale Paare die Medienmitteilung des</w:t>
      </w:r>
    </w:p>
    <w:p>
      <w:r>
        <w:t>E-3638/2022 Seite 6 SEM vom 2. Juni 2022 https://www.sem.admin.ch/sem/de/home/sem/me- dien/mm.msg-id-89100.html, abgerufen am 5. Dezember 2022). Das SEM geht davon aus, dass diese Personen in den genannten Staaten wirksa- men Schutz erhalten und deshalb nicht auf den Schutz der Schweiz ange- wiesen sind. Es ist im Folgenden zu prüfen, ob diese Auslegung vor Bun- 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