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E-3638/2022 vom 5. Dezember 2022</w:t>
      </w:r>
    </w:p>
    <w:p>
      <w:r>
        <w:t>Bundesverwaltungsgericht, 2022-12-05, DE</w:t>
      </w:r>
    </w:p>
    <w:p>
      <w:r>
        <w:rPr>
          <w:b/>
        </w:rPr>
        <w:t xml:space="preserve">Quelle: </w:t>
      </w:r>
      <w:r>
        <w:t>https://mcp.opencaselaw.ch/entscheid/bvger_E-3638_2022</w:t>
      </w:r>
    </w:p>
    <w:p>
      <w:r>
        <w:t>FR: TAF E-3638/2022 du 5 décembre 2022</w:t>
      </w:r>
    </w:p>
    <w:p>
      <w:r>
        <w:t>IT: TAF E-3638/2022 del 5 dicembre 2022</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111a Abs. 1 AsylG (i.V.m. Art. 72) wurde auf die Durchfüh- rung eines Schriftenwechsels verzichtet.</w:t>
      </w:r>
    </w:p>
    <w:p>
      <w:r>
        <w:t>E-3638/2022 Seite 4</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gilt der Schutzstatus für folgende Per- 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die Beschwerdeführenden gehörten nicht zu der vom Bun- desrat definierten Gruppe schutzberechtigter Personen, da sie nebst der ukrainischen Staatsangehörigkeit auch über eine kanadische Staatsbür- gerschaft verfügten und somit die Möglichkeit hätten, sich in Kanada nie- derzulassen. Die strikte Ablehnung der Covid-19-Impfung und das Fehlen von Verwandten und Freunden in Kanada vermöchten die Annahme einer sicheren Rückkehr nach Kanada nicht umzustossen. Bei den nationalen</w:t>
      </w:r>
    </w:p>
    <w:p>
      <w:r>
        <w:t>E-3638/2022 Seite 5 Massnahmen gegen die Verbreitung der Covid-19-Pandemie sowie den daraus folgenden Einschränkungen des Privatlebens handle es sich um rechtsstaatlich legitime Regelungen der Regierung, welche die gesamte kanadische Bevölkerung gleichermassen beträfen. Diese seien überdies inzwischen soweit gelockert worden, dass man sich auch ohne eine Imp- fung am sozialen Leben in Kanada beteiligen könne. Auch die Reisebe- stimmungen seien angepasst worden und Flüge könnten unter Einhaltung der geltenden Bestimmungen auch ohne eine Impfung angetreten werden. Das Engagement des Beschwerdeführers für die F.______ vermöge eben- falls kein Aufenthaltsrecht in der Schweiz zu begründen, zeuge aber von Tüchtigkeit. Es sei daher davon auszugehen, dass er in Kanada bald eine Anstellung finde. Betreffend die Kritik am legalen Status von Marihuana in Kanada sei anzumerken, dass trotz der Legalisierung Einschränkungen und Regeln vorherrschten, die Minderjährige vor einem Substanzmiss- brauch schützten.</w:t>
      </w:r>
    </w:p>
    <w:p>
      <w:r>
        <w:rPr>
          <w:b/>
        </w:rPr>
        <w:t>E. 5.2</w:t>
      </w:r>
    </w:p>
    <w:p>
      <w:r>
        <w:t>In der Beschwerdeschrift machen die Beschwerdeführenden nament- lich geltend, sie würden nicht über die finanziellen Mittel verfügen, um sich in Kanada ein Leben aufbauen zu können. Als Kanadier würden sie auch nicht von der Unterstützung profitieren, die den übrigen Schutzsuchenden aus der Ukraine zukäme. Sie hätten Kanada im Jahr 2020 verlassen, da der Beschwerdeführer keinen Zugang zu medizinischer Versorgung seines verletzten (…) gehabt habe. Ausserdem habe er hier in der Schweiz Aus- sicht auf eine Festanstellung und die Kinder würden hier zur Schule gehen, weshalb ein erneuter Umzug nicht zumutbar wäre. Sie würden im Übrigen die Voraussetzungen erfüllen, welche an schutzberechtigte Personen ge- stellt würden.</w:t>
      </w:r>
    </w:p>
    <w:p>
      <w:r>
        <w:rPr>
          <w:b/>
        </w:rPr>
        <w:t>E. 6.1</w:t>
      </w:r>
    </w:p>
    <w:p>
      <w:r>
        <w:t>Der Bundesrat hält – wie dargelegt – in der Allgemeinverfügung vom</w:t>
      </w:r>
    </w:p>
    <w:p>
      <w:r>
        <w:rPr>
          <w:b/>
        </w:rPr>
        <w:t>E. 6.2</w:t>
      </w:r>
    </w:p>
    <w:p>
      <w:r>
        <w:t>Für die Normen des Verwaltungsrechts gelten die üblichen Methoden der Gesetzesauslegung (HÄFELIN/MÜLLER/UHLMANN, Allgemeines Verwal- tungsrecht, 8. Aufl., Zürich/Basel/Genf 2020, Rz. 177). Nach der bundes- gerichtlichen Rechtsprechung ist ein Gesetz in erster Linie nach Wortlaut, Sinn und Zweck und den ihm zu Grunde liegenden Wertungen auf der Ba- sis einer teleologischen Verständnismethode auszulegen. Die Auslegung des Gesetzes ist zwar nicht entscheidend historisch zu orientieren, im Grundsatz aber dennoch auf die Regelungsabsicht des Gesetzgebers und die damit erkennbar getroffenen Wertentscheidungen auszurichten, die es mit Hilfe der herkömmlichen Auslegungselemente zu ermitteln gilt. Dabei geht das Bundesgericht pragmatisch vor und lehnt es namentlich ab, die einzelnen Auslegungselemente einer hierarchischen Prioritätsordnung zu unterstellen (BGE 140 II 509 E. 2.6 m.H.). Nach der Rechtsprechung des Bundesgerichts besteht eine Lücke im Ge- setz, wenn sich eine Regelung als unvollständig erweist, weil sie jede Ant- wort auf die sich stellende Rechtsfrage schuldig bleibt oder eine Antwort gibt, die aber als sachlich unhaltbar angesehen werden muss. Hat der Ge- setzgeber eine Rechtsfrage nicht übersehen, sondern stillschweigend – im negativen Sinn – mitentschieden (qualifiziertes Schweigen), bleibt kein Raum für richterliche Lückenfüllung. Eine echte Gesetzeslücke liegt nach der Rechtsprechung des Bundesgerichts dann vor, wenn der Gesetzgeber etwas zu regeln unterlassen hat, was er hätte regeln sollen, und dem Ge- setz diesbezüglich weder nach seinem Wortlaut noch nach dem durch Aus- legung zu ermittelnden Inhalt eine Vorschrift entnommen werden kann. Von einer unechten oder rechtspolitischen Lücke ist demgegenüber die Rede, wenn dem Gesetz zwar eine Antwort, aber keine befriedigende, zu entneh- men ist (vgl. zum Ganzen BGE 138 II 1 E. 4.2 m.H.). Aufgrund des Rechts- verweigerungsverbots sind die rechtsanwendenden Organe dazu ver- pflichtet, echte Lücken zu füllen (HÄFELIN/MÜLLER/UHLMANN, a.a.O., Rz. 206 f.). Unechte zu korrigieren, ist ihnen nach traditioneller Auffassung grundsätzlich verwehrt, es sei denn, die Berufung auf den als massgeblich erachteten Wortsinn der Norm stelle einen Rechtsmissbrauch dar (vgl. BGE 141 V 481 E. 3.1 m.H.).</w:t>
      </w:r>
    </w:p>
    <w:p>
      <w:r>
        <w:t>E-3638/2022 Seite 7 Von der Berichtigung unechter Lücken zu unterscheiden ist der zulässige Vorgang richterlicher Rechtsfindung, bei welchem ein vordergründig klarer, aber zu weit gefasster Wortlaut einer Norm auf den Anwendungsbereich reduziert wird, welcher der ratio legis entspricht. Dies wird als teleologische Reduktion bezeichnet (vgl. BGE 141 V 191 E. 3 m.H., 140 I 305 E. 6.2 m.H.; Urteil des BVGer F-512/2019 vom 9. September 2020 E. 7.1 m.H.; grundlegend BGE 121 III 219 E. 1d/aa).</w:t>
      </w:r>
    </w:p>
    <w:p>
      <w:r>
        <w:rPr>
          <w:b/>
        </w:rPr>
        <w:t>E. 6.3</w:t>
      </w:r>
    </w:p>
    <w:p>
      <w:r>
        <w:t>Weder das Asylgesetz noch die Gesetzesmaterialien äussern sich aus- drücklich zur Rechtslage von Doppelbürgern oder binationalen Familien und Paaren bei der Gewährung vorübergehenden Schutzes. Zu beachten ist allerdings, dass dem Asylgesetz der Grundsatz der Subsidiarität asyl- rechtlichen Schutzes zugrunde liegt. Dieser trägt unter anderem dem Um- stand Rechnung, dass Asylsuchende, die mehrere Staatsangehörigkeiten besitzen, nicht auf den Schutz eines Drittstaates angewiesen sind, sofern sie in einem der Staaten, dessen Staatsangehörigkeit sie besitzen, Schutz vor Verfolgung finden können (vgl. Art. 1 A Ziff. 2 Abs. 2 des Abkommens vom 28. Juli 1951 über die Rechtsstellung der Flüchtlinge [FK, SR 0.142.30]; BVGE 2010/41 E. 6.5.1 m.H. auf EMARK 2000/15 E. 12a; so auch schon Walter Kälin, Grundriss des Asylverfahrens, Basel 1990, Ziff. III 2b, S. 34 f. m.H.). Nichts anderes kann für die Gewährung vorübergehen- den Schutzes gemäss Art. 4 AsylG gelten. Würden Doppelbürgerinnen und -bürger, welche sowohl die ukrainische als auch die Staatsangehörigkeit eines weiteren (verfolgungssicheren) Heimatstaates besitzen, in der Schweiz vorübergehenden Schutz erhalten, wären sie besser gestellt als Asylsuchende, welche die gleichen Staatsbürgerschaften besitzen und in der Schweiz um Schutz vor Verfolgung suchen: Letzteren würde der Schutz verweigert mit der Begründung, dass sie gegen die Verfolgung durch den einen ihrer Heimatstaaten den Schutz durch den anderen ihrer Heimatstaaten beanspruchen können (vgl. Art. 1 A Ziff. 2 Abs. 2 FK). Eine solche Besserstellung von Schutzsuchenden im Sinne von Art. 4 AsylG wäre stossend und nicht im Sinne des Gesetzgebers. Der Wortlaut von Ziff. I Bst. a der Allgemeinverfügung ist folglich per teleologischer Re- duktion so auszulegen, dass sie dem Sinn und Zweck des vor- übergehenden Schutzes und auch dem im Asyl- und Flüchtlingsrecht gel- tenden Subsidiaritätsprinzip entspricht. Daraus folgt im Verfahren um vor- übergehenden Schutz, dass eine Person ukrainischer Staatbürgerschaft, welche vor dem 24. Februar 2022 in der Ukraine wohnhaft war, grundsätz- lich nicht auf den Schutz der Schweiz angewiesen und entsprechend auch nicht als schutzbedürftig im Sinne von Art. 4 AsyIG zu bezeichnen ist, wenn</w:t>
      </w:r>
    </w:p>
    <w:p>
      <w:r>
        <w:t>E-3638/2022 Seite 8 für sie eine valable Schutzalternative ausserhalb der Ukraine bejaht wer- den kann.</w:t>
      </w:r>
    </w:p>
    <w:p>
      <w:r>
        <w:rPr>
          <w:b/>
        </w:rPr>
        <w:t>E. 6.4</w:t>
      </w:r>
    </w:p>
    <w:p>
      <w:r>
        <w:t>Vorliegend ist unbestritten, dass die Beschwerdeführenden neben der ukrainischen auch die kanadische Staatsbürgerschaft besitzen. Den an- lässlich der Befragungen vom 23. Juni 2022 protokollierten Ausführungen ist zu entnehmen, dass einer dauerhaften Rückkehr in den (zweiten) Hei- matstaat Kanada unter dem Aspekt der Sicherheit nichts entgegensteht. Die Beschwerdeschrift vermag diese Auffassung nicht in Frage zu stellen. Die Schwierigkeiten, welche sich aus der Weigerung ergeben, sich gegen das Covid-19-Virus zu impfen, sind vorliegend nicht relevant, zumal – wie das SEM richtig festhält – die Regelungen in Kanada die gesamte Bevöl- kerung in gleicher Weise betreffen und sie zudem gelockert wurden. Die Impfflicht sowie sämtliche Coronamassnahmen wurden per Ende Septem- ber 2022 selbst für Einreisende aufgehoben (vgl. Das Coronavirus und die eTA Kanada, visumantrag.de/kanada/corona, abgerufen am 5. Dezember 2022). Auch die Möglichkeit, in Kanada legal Marihuana kaufen und kon- sumieren zu können, vermag an dieser Einschätzung nichts zu ändern.</w:t>
      </w:r>
    </w:p>
    <w:p>
      <w:r>
        <w:rPr>
          <w:b/>
        </w:rPr>
        <w:t>E. 6.5</w:t>
      </w:r>
    </w:p>
    <w:p>
      <w:r>
        <w:t>Nach dem Gesagten ist festzuhalten, dass die Beschwerdeführenden die Voraussetzungen für die Gewährung des vorübergehenden Schutzes nicht erfüllen, und das SEM das Gesuch zu Recht abgelehnt. 7. Die Ablehnung des Gesuchs um Gewährung des vorübergehenden Schut- zes hat in der Regel die Wegweisung aus der Schweiz zur Folge (Art. 69 Abs. 4 AsylG). Da den Beschwerdeführenden vorliegend keine Aufenthalts- bewilligung erteilt wurde und zudem kein Anspruch auf Erteilung einer sol- chen besteht (vgl. BVGE 2013/37 E. 4.4; 2009/50 E. 9, je m.w.H.), steht die verfügte Wegweisung im Einklang mit den gesetzlichen Bestimmungen und wurde demnach von der Vorinstanz ebenfalls zu Recht angeordnet. 8. 8.1 Ist der Vollzug der Wegweisung nicht zulässig, nicht zumutbar oder nicht möglich, so regelt das SEM das Anwesenheitsverhältnis nach den gesetzlichen Bestimmungen über die vorläufige Aufnahme (vgl. Art. 69 Abs. 4 AsylG; Art. 83 Abs. 1 AIG [SR 142.20]).</w:t>
      </w:r>
    </w:p>
    <w:p>
      <w:r>
        <w:t>E-3638/2022 Seite 9 8.2 8.2.1 Der Vollzug ist nicht zulässig, wenn völkerrechtliche Verpflichtungen der Schweiz einer Weiterreise der Ausländerin oder des Ausländers in den Heimat-, Herkunfts- oder einen Drittstaat entgegenstehen (Art. 83 Abs. 3 AIG). 8.2.2 Die Beschwerdeführenden haben in der Schweiz kein Asylgesuch gestellt. Den Akten sind demnach keine Hinweise auf eine Verletzung des flüchtlingsrechtlichen Refoulement-Verbots zu entnehmen. Sodann erge- 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 rechte (EGMR) sowie jener des UN-Anti-Folterausschusses müssten die Beschwerdeführenden eine konkrete Gefahr ("real risk") nachweisen oder glaubhaft machen, dass ihnen im Fall einer Rückschiebung Folter oder un- menschliche Behandlung drohen würde (vgl. Urteil des EGMR Saadi ge- gen Italien 28. Februar 2008, Grosse Kammer 37201/06, §§ 124–127 m.w.H.). 8.2.3 Auch die allgemeine Menschenrechtssituation in Kanada lässt den Wegweisungsvollzug zum heutigen Zeitpunkt nicht als unzulässig erschei- nen. 8.2.4 Nach dem Gesagten ist der Vollzug der Wegweisung sowohl im Sinne der asyl- als auch der völkerrechtlichen Bestimmungen zulässig.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Das Gericht schliesst sich auch der Schlussfolgerung der Vorinstanz zur Zumutbarkeit des Wegweisungsvollzuges an. Weder die in Kanada herrschende politische Situation noch andere Gründe vermögen gegen die Zumutbarkeit der Rückführung der Beschwerdeführenden in den Heimat- staat Kanada sprechen. Die Beschwerdeführenden haben acht Jahre ihres</w:t>
      </w:r>
    </w:p>
    <w:p>
      <w:r>
        <w:t>E-3638/2022 Seite 10 Lebens dort verbracht und die Kinder sind dort geboren. Es ist – wie das SEM ebenfalls zu Recht darlegt – davon auszugehen, dass die Beschwer- deführenden in Kanada über ein gewisses Beziehungsnetz verfügen, das sie bei der Reintegration unterstützen kann. Ausserdem hält der Beschwer- deführer selbst fest, dass in Kanada viele Ukrainer leben würden (vgl. Be- fragungsprotokoll F7, SEM-Akte 1177587-6/4). Die Beschwerdeführerin ist ausgebildete (…) und der Beschwerdeführer ist (…). Beiden sollte es somit möglich sein, sich in Kanada auch in beruflicher Hinsicht wieder einzuglie- dern und für ein wirtschaftliches Auskommen der Familie zu sorgen. Den Kindern ist es überdies möglich, in Kanada die Schule zu besuchen. Die medizinische Versorgungslage in Kanada kann als sehr gut bezeichnet werden und der Zugang zu medizinischen Leistungen ist gewährleistet. Die medizinische Versorgung ist überdies für alle kanadischen Staatsangehö- rigen kostenlos (vgl. The Commonwealth Fund, International Health Care System Profiles – Canada, www.commonwealthfund.org/international- health-policy-center/countries/canada, zuletzt abgerufen am 5. Dezember 2022). Nach dem Gesagten erweist sich der Vollzug der Wegweisung auch als zumutbar. 8.4 Schliesslich obliegt es den Beschwerdeführenden, sich bei der zustän- digen Vertretung des Heimatstaates die für eine Rückkehr notwendigen Reisedokumente zu beschaffen (vgl. Art 72 i.V.m.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t>E-3638/2022 Seite 11 10. 10.1 Die Gesuche um Gewährung der unentgeltlichen Prozessführung und amtlichen Rechtsverbeiständung sind unbesehen der finanziellen Verhält- nisse der Beschwerdeführenden abzuweisen, da die Beschwerde – ge- mäss den vorstehenden Erwägungen – als aussichtslos zu bezeichnen ist und es daher an einer gesetzlichen Grundlage zu deren Gewährung fehlt. 10.2 Bei diesem Ausgang des Verfahrens sind die Kosten von Fr. 750.– (Art. 1–3 des Reglements vom 21. Februar 2008 über die Kosten und Ent- schädigungen vor dem Bundesverwaltungsgericht [VGKE, SR 173.320.2]) den Beschwerdeführenden aufzuerlegen (Art. 63 Abs. 1 VwVG). (Dispositiv nächste Seite)</w:t>
      </w:r>
    </w:p>
    <w:p>
      <w:r>
        <w:t>E-3638/2022 Seite 12</w:t>
      </w:r>
    </w:p>
    <w:p>
      <w:r>
        <w:rPr>
          <w:b/>
        </w:rPr>
        <w:t>E. 7</w:t>
      </w:r>
    </w:p>
    <w:p>
      <w:r>
        <w:t>Die Ablehnung des Gesuchs um Gewährung des vorübergehenden Schutzes hat in der Regel die Wegweisung aus der Schweiz zur Folge (Art. 69 Abs. 4 AsylG). Da den Beschwerdeführenden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Die Beschwerdeführenden haben in der Schweiz kein Asylgesuch gestellt. Den Akten sind demnach keine Hinweise auf eine Verletzung des flüchtlingsrechtlichen Refoulement-Verbots zu entnehmen.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w:t>
      </w:r>
    </w:p>
    <w:p>
      <w:r>
        <w:rPr>
          <w:b/>
        </w:rPr>
        <w:t>E. 8.2.3</w:t>
      </w:r>
    </w:p>
    <w:p>
      <w:r>
        <w:t>Auch die allgemeine Menschenrechtssituation in Kanada lässt den Wegweisungsvollzug zum heutigen Zeitpunkt nicht als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Gericht schliesst sich auch der Schlussfolgerung der Vorinstanz zur Zumutbarkeit des Wegweisungsvollzuges an. Weder die in Kanada herrschende politische Situation noch andere Gründe vermögen gegen die Zumutbarkeit der Rückführung der Beschwerdeführenden in den Heimatstaat Kanada sprechen. Die Beschwerdeführenden haben acht Jahre ihres Lebens dort verbracht und die Kinder sind dort geboren. Es ist - wie das SEM ebenfalls zu Recht darlegt - davon auszugehen, dass die Beschwerdeführenden in Kanada über ein gewisses Beziehungsnetz verfügen, das sie bei der Reintegration unterstützen kann. Ausserdem hält der Beschwerdeführer selbst fest, dass in Kanada viele Ukrainer leben würden (vgl. Befragungsprotokoll F7, SEM-Akte 1177587-6/4). Die Beschwerdeführerin ist ausgebildete (...) und der Beschwerdeführer ist (...). Beiden sollte es somit möglich sein, sich in Kanada auch in beruflicher Hinsicht wieder einzugliedern und für ein wirtschaftliches Auskommen der Familie zu sorgen. Den Kindern ist es überdies möglich, in Kanada die Schule zu besuchen. Die medizinische Versorgungslage in Kanada kann als sehr gut bezeichnet werden und der Zugang zu medizinischen Leistungen ist gewährleistet. Die medizinische Versorgung ist überdies für alle kanadischen Staatsangehörigen kostenlos (vgl. The Commonwealth Fund, International Health Care System Profiles - Canada, www.commonwealthfund.org/international-health-policy-center/countries/canada, zuletzt abgerufen am 5. Dezember 2022). Nach dem Gesagten erweist sich der Vollzug der Wegweisung auch als zumutbar.</w:t>
      </w:r>
    </w:p>
    <w:p>
      <w:r>
        <w:rPr>
          <w:b/>
        </w:rPr>
        <w:t>E. 8.4</w:t>
      </w:r>
    </w:p>
    <w:p>
      <w:r>
        <w:t>Schliesslich obliegt es den Beschwerdeführenden, sich bei der zuständigen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72 i.V.m. Art. 106 Abs. 1 AsylG) und - soweit diesbezüglich überprüfbar - angemessen ist. Die Beschwerde ist abzuweisen.</w:t>
      </w:r>
    </w:p>
    <w:p>
      <w:r>
        <w:rPr>
          <w:b/>
        </w:rPr>
        <w:t>E. 10.1</w:t>
      </w:r>
    </w:p>
    <w:p>
      <w:r>
        <w:t>Die Gesuche um Gewährung der unentgeltlichen Prozessführung und amtlichen Rechtsverbeiständung sind unbesehen der finanziellen Verhältnisse der Beschwerdeführenden abzuweisen, da die Beschwerde - gemäss den vorstehenden Erwägungen - als aussichtslos zu bezeichnen ist und es daher an einer gesetzlichen Grundlage zu deren Gewährung fehlt.</w:t>
      </w:r>
    </w:p>
    <w:p>
      <w:r>
        <w:rPr>
          <w:b/>
        </w:rPr>
        <w:t>E. 10.2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r>
        <w:rPr>
          <w:b/>
        </w:rPr>
        <w:t>E. 11</w:t>
      </w:r>
    </w:p>
    <w:p>
      <w:r>
        <w:t>März 2022 fest, dass schutzsuchende ukrainische Staatsbürgerinnen und -bürger und ihre Familienangehörige, welche vor dem 24. Februar 2022 in der Ukraine wohnhaft waren, Anspruch auf Gewährung des vor- übergehenden Schutzes haben (Ziff. I Bst. a). Ob dieser Kategorie nur die Personen ukrainischer Staatsangehörigkeit zuzuordnen sind, die keine weitere Staatsangehörigkeit besitzen, lässt sich dem Wortlaut der Bestim- mung nicht entnehmen. Gemäss Praxis des SEM erhalten Staatsangehö- rige aus EU- und EFTA-Staaten sowie Staatsangehörige des Vereinigten Königreichs, von Kanada, Neuseeland, Australien und den USA sowie de- ren Familienangehörige grundsätzlich keinen vorübergehenden Schutz in der Schweiz (vgl. betreffend binationale Paare die Medienmitteilung des</w:t>
      </w:r>
    </w:p>
    <w:p>
      <w:r>
        <w:t>E-3638/2022 Seite 6 SEM vom 2. Juni 2022 https://www.sem.admin.ch/sem/de/home/sem/me- dien/mm.msg-id-89100.html, abgerufen am 5. Dezember 2022). Das SEM geht davon aus, dass diese Personen in den genannten Staaten wirksa- men Schutz erhalten und deshalb nicht auf den Schutz der Schweiz ange- wiesen sind. Es ist im Folgenden zu prüfen, ob diese Auslegung vor Bun- desrecht standhält.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