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E-3631/2018 vom 18. August 2021</w:t>
      </w:r>
    </w:p>
    <w:p>
      <w:r>
        <w:t>Bundesverwaltungsgericht, 2021-08-18, DE</w:t>
      </w:r>
    </w:p>
    <w:p>
      <w:r>
        <w:rPr>
          <w:b/>
        </w:rPr>
        <w:t xml:space="preserve">Quelle: </w:t>
      </w:r>
      <w:r>
        <w:t>https://mcp.opencaselaw.ch/entscheid/bvger_E-3631_2018</w:t>
      </w:r>
    </w:p>
    <w:p>
      <w:r>
        <w:t>FR: TAF E-3631/2018 du 18 août 2021</w:t>
      </w:r>
    </w:p>
    <w:p>
      <w:r>
        <w:t>IT: TAF E-3631/2018 del 18 agosto 2021</w:t>
      </w:r>
    </w:p>
    <w:p>
      <w:pPr>
        <w:pStyle w:val="Heading2"/>
      </w:pPr>
      <w:r>
        <w:t>Regeste</w:t>
      </w:r>
    </w:p>
    <w:p>
      <w:r>
        <w:t>Asyl und Wegweisung (verkürzte Beschwerdefrist)</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 In Bezug auf die Rechtsmittelfrist kommen die Bestimmungen der Testphasenverordnung (vgl. Abs. 2 der Übergangsbestimmungen zur Änderung des AsylG vom 25. September 2015) zur Anwendung.</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Abs. 1 VwVG). Auf die frist- und formgerecht eingereichte Beschwerde ist einzutreten (Art. 112b Abs. 3 AsylG, Art. 38 TestV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(zum Begriff: BVGE 2007/19 E. 3.3 S. 225, unter Hinweis auf Entscheidungen und Mitteilungen der Schweizerischen Asylrekurskommission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Vorab hält die Vorinstanz fest, die Festnahme des Beschwerdeführers im Jahre 20(...) wegen angeblicher politischer Betätigung sei für die Ausreise im Jahre 20(...) nicht kausal gewesen und dem Entzug seiner (...) sei keine ausschlaggebende Intensität zu attestieren. Den Ereignissen komme mithin keine flüchtlingsrechtliche Relevanz zu. Sodann seien die Fluchtvorbringen der Ehefrau, aus welchen der Beschwerdeführer seine Reflexverfolgung ableite, in früheren Verfahren bereits als unglaubhaft qualifiziert worden. Des Weiteren würden seine Ausführungen nicht überzeugen. Dies insbesondere in Bezug auf die Verfolgung seiner Ehefrau, seiner in diesem Zusammenhang vorgebrachten Festnahme und den anschliessenden behördlichen Behelligungen. Nicht zuletzt aufgrund seiner im Jahre 20(...) getätigten E._______reise sei nicht davon auszugehen, der Beschwerdeführer habe in flüchtlingsrechtlich relevanter Weise im Fokus der Behörden gestanden. Ferner sei nicht nachvollziehbar, weshalb er sich erst im Jahre 20(...) für die Flucht aus dem Heimatland entschieden habe. Zudem würden seine Ausführungen von denjenigen seiner Ehefrau teilweise stark abweichen. Seine Schilderungen seien somit auch nicht geeignet, an der Einschätzung der Fluchtvorbringen seiner Ehefrau etwas zu ändern.</w:t>
      </w:r>
    </w:p>
    <w:p>
      <w:r>
        <w:rPr>
          <w:b/>
        </w:rPr>
        <w:t>E. 6</w:t>
      </w:r>
    </w:p>
    <w:p>
      <w:r>
        <w:t>In der Rechtsmitteleingabe macht der Beschwerdeführer im Wesentlichen geltend, die Vorinstanz habe aufgrund des Umstandes, dass die Asylgesuche der Ehefrau und des Sohnes in früheren Verfahren abgelehnt worden seien, die Prüfung seines Asylgesuches nicht mehr ergebnisoffen durchgeführt. Er habe die Fluchtgeschichte der Ehefrau bestätigt und es sei - entgegen der Feststellung der Vorinstanz - nicht zutreffend, dass seine Schilderungen von denjenigen seiner Ehefrau stark abweichen würden. In gewissen Punkten seien nicht ins Gewicht fallende Abweichungen dadurch begründet, dass ihnen die Informationen wegen ihrer räumlichen Trennung nur vom Hörensagen und zeitlich erst viel später bekannt gewesen seien. Weiter hätten ihn die heimatlichen Behörden über (...) Jahre hinweg immer wieder mitgenommen, ihn für einige Stunden seiner Freiheit beraubt und verhört. Dies sei äusserst belastend und stelle einen untertäglichen psychischen Druck beziehungsweise eine Reflexverfolgung dar. Dass die falschen Beschuldigungen im Zusammenhang mit der angeblichen Demonstrationsteilnahme im Jahre 20(...) flüchtlingsrechtlich nicht relevant seien, werde anerkannt und mit der eingereichten Beschwerde nicht bestritten.</w:t>
      </w:r>
    </w:p>
    <w:p>
      <w:r>
        <w:rPr>
          <w:b/>
        </w:rPr>
        <w:t>E. 7</w:t>
      </w:r>
    </w:p>
    <w:p>
      <w:r>
        <w:t>In der Vernehmlassung zu den nachträglich eingereichten (...) führt die Vorinstanz aus, es handle sich dabei lediglich um Kopien, welchen gemäss ständiger Praxis nur ein geringer Beweiswert attestiert werden könne. Ferner stelle sich die Frage, weshalb der Beschwerdeführer nicht bereits früher solche Dokumente eingereicht habe, werde er gemäss eigenen Aussagen doch seit dem Jahre 20(...) von den Behörden behelligt. Sodann falle auf, dass die Behörden noch über (...) Jahre nach der Ausreise der Ehefrau aktiv nach ihr ermitteln und den Gesuchsteller vorladen würden, nachdem dieser den Iran bereits seit (...) verlassen habe.</w:t>
      </w:r>
    </w:p>
    <w:p>
      <w:r>
        <w:rPr>
          <w:b/>
        </w:rPr>
        <w:t>E. 8.1</w:t>
      </w:r>
    </w:p>
    <w:p>
      <w:r>
        <w:t>In der Rechtsmitteleingabe wird der Vorinstanz Voreingenommenheit vorgeworfen, weil sie bereits zu Beginn der Erwägungen darauf verwiesen habe, dieselben Fluchtvorbringen seien im Asylverfahren der Ehefrau des Beschwerdeführers als unglaubhaft eingestuft worden. Es ist in diesem Zusammenhang festzustellen, dass die Vorinstanz zur Begründung ihres Entscheids auch weitere, auf die Vorbringen des Beschwerdeführers bezogene, Argumente ausführt, ihren Entscheid mithin nicht alleine mit Verweis auf das Verfahren der Ehefrau begründet. Eine ausstandsrelevante Voreingenommenheit in Sinne von Art. 10 VwVG kann das Gericht in der Art und Weise, wie die Vorinstanz ihren Entscheid begründet hat, nicht erkennen. Eine solche macht der Beschwerdeführer auch nicht explizit geltend. Vielmehr scheint er sich darauf zu berufen, die Vorinstanz habe sich bei der Glaubhaftigkeitsprüfung vom Umstand, dass über gleiche Fluchtvorbringen bereits im Verfahren der Angehörigen befunden wurde, zu stark beeinflussen lassen. Damit rügt er im Wesentlichen eine falsche Würdigung seiner Fluchtvorbringen, worauf in der nachfolgenden Erwägung einzugehen ist.</w:t>
      </w:r>
    </w:p>
    <w:p>
      <w:r>
        <w:rPr>
          <w:b/>
        </w:rPr>
        <w:t>E. 8.2</w:t>
      </w:r>
    </w:p>
    <w:p>
      <w:r>
        <w:t>Vorab ist festzuhalten, dass der Beschwerdeführer vorbringt, er sei im Jahre 20(...) irrtümlich des politischen Aktivismus beschuldigt, später jedoch von diesem Vorwurf freigesprochen worden (vgl. SEM-Akten A19/11 F74 ff.). Diese Vorwürfe würden jedoch nicht im Zusammenhang mit der geltend gemachten späteren Entlassung seiner Ehefrau in Zusammenhang stehen. Diese habe einzig aufgrund ihrer eigenen politischen Tätigkeit ihre Stelle verloren (vgl. a.a.O. F79 f.). Im Kern macht er geltend, er sei aufgrund eines flüchtlingsrechtlich relevanten Interesses der Behörden an seiner Ehefrau Reflexverfolgung ausgesetzt. Namentlich werde er seit Jahren regelmässig zu ihrer Person einvernommen. In diesen regelmässigen Einvernahmen scheint sich für ihn dann auch die Verfolgung zu manifestieren. Dabei geht aus seinen Ausführungen nicht mit letzter Klarheit hervor, weshalb er erst nach (...) Jahren, während welchen er wegen seiner Ehefrau im Fokus der Behörden gestanden haben soll, die definitive Ausreise antrat. Gemäss seinen Ausführungen war ihm der Aufenthaltsort seiner Ehefrau und seines Sohnes erst im Jahre 20(...) wieder bekannt. Damals habe er sie in der Schweiz besuchen können. Weil er seinen Bekannten in D._______ nicht habe in Schwierigkeiten bringen wollen, sei er nach Ablauf der Aufenthaltsfrist jedoch wieder in den Iran zurückgekehrt und habe erst im Jahre 20(...) jemanden gefunden, der seine erneute Ausreise (für angeblich [...]) habe organisieren können. Weshalb er nicht nochmal seinen Bekannten in D._______ dafür hätte in Anspruch nehmen können (etwa im Sinne eines Touristenvisums) beziehungsweise die Ausreise auf die gleiche Art wie im Jahre 20(...) organisierte, geht aus den Akten nicht hervor. Das SEM hält insbesondere auch zu Recht fest, die Rückkehr des Beschwerdeführers in den angeblichen Verfolgungsstaat spreche gegen eine subjektiv begründetet Furcht. Ist aufgrund des Vorstehenden festzustellen, dass die erwähnten Vorbringen des Beschwerdeführers zumindest gewisse Fragen aufwerfen, ist sodann der Umstand, dass er als Person, an welcher die Behörden ein bemerkenswertes Interesse gezeigt haben sollen (gemäss seinen Schilderungen wurde er zwei Mal pro Woche oder vier bis fünf Mal pro Monat behördlich einvernommen [vgl. SEM A20/16 F51]), ohne Probleme aus seinem Heimatland aus- und wieder einreisen konnte, aus objektiver Sicht nur schwer nachzuvollziehen. Dies auch unter Berücksichtigung, dass ihm von den Behörden vorgeworfen worden sei, er habe mit seiner Frau zusammengearbeitet (vgl. a.a.O. F44). Die problemlose Wiedereinreise in den Heimatstaat lässt insbesondere - nebst der bereits zu verneinenden subjektiven Furcht - auch auf das Fehlen objektiv begründeter Furcht schliessen. Dies gerade auch vor dem Hintergrund der rigiden Einreiskontrollen im Iran. Ferner brachte der Beschwerdeführer vor, die Behörden hätten sich für den Aufenthalt der Ehefrau interessiert beziehungsweise versucht, sie durch ihn "zu erwischen" (vgl. a.a.O. F50 sowie F67). Es besteht die starke Vermutung, dass die iranischen Behörden bei tatsächlichem Vorliegen des geltend gemachten Interesses an der Ehefrau deren Aufenthalt alleine aufgrund seiner E._______reise hätten ausfindig machen können. Trotzdem sei er nach seiner Rückreise noch mindestens 20 Mal zu seiner Ehefrau einvernommen worden. Aus den diesbezüglichen Schilderungen ist sodann in keiner Weise nachvollziehbar, inwiefern die unzähligen Einvernahmen für die Behörden in irgendeiner Weise von Nutzen hätten sein können. Es ist festzuhalten, dass die Ausführungen des Beschwerdeführers an zahlreichen Stellen unplausibel sind. Auch wenn die ihm im erstinstanzlichen Verfahren vorgehaltenen Widersprüche zu den Vorbringen seiner Ehefrau teilweise erklärbar sein mögen, ist festzustellen, dass seine Schilderungen kein überzeugendes Gesamtbild vermitteln können. Vor diesem Hintergrund vermag er aus den eingereichten (...)skopien, aus welchen im Übrigen der Kontext, in welchem er zu seiner Frau befragt werden sollte, nicht klar hervorgeht, nichts zu seinen Gunsten abzuleiten. Zum Beweiswert der (...) kann des Weiteren auf die überzeugenden Argumente der Vorinstanz in der Vernehmlassung vom 27. März 2019 verwiesen werden. Zur Authentizität haben sich sodann das Gericht im Urteil E-5631/2020 vom 18. August 2021 betreffend das Wiedererwägungsverfahren der Ehefrau und des gemeinsamen Sohnes sowie die Vorinstanz in der entsprechenden Vernehmlassung vom 26. November 2020 und in der Verfügung vom 14. Oktober 2020 geäussert. Die Echtheit der (...) wurde unter anderem aufgrund widersprüchlicher Übersetzungen sowie Datumsangaben verneint. Nach dem Ausgeführten ist festzuhalten, dass der Beschwerdeführer nicht glaubhaft darzulegen vermag, dass er wegen eines flüchtlingsrechtlich relevanten behördlichen Interesses an seiner Ehefrau im Fokus der heimatlichen Autoritäten steht.</w:t>
      </w:r>
    </w:p>
    <w:p>
      <w:r>
        <w:rPr>
          <w:b/>
        </w:rPr>
        <w:t>E. 8.3</w:t>
      </w:r>
    </w:p>
    <w:p>
      <w:r>
        <w:t>Aufgrund des Vorstehenden ist festzuhalten, dass die Vorinstanz die Flüchtlingseigenschaft des Beschwerdeführers zu Recht und mit überzeugender Begründung verneint und sein Asylgesuch abgelehnt hat. Die Einwände auf Beschwerdestufe vermögen keine andere Einschätzung herbeizuführen.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10.2.3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müssen Beschwerdeführende eine konkrete Gefahr ("real risk") nachweisen oder glaubhaft machen, dass ihnen im Fall einer Rückschiebung Folter oder unmenschliche Behandlung drohen würde (vgl. Urteil des EGMR Saadi gegen Italien 28. Februar 2008, Grosse Kammer 37201/06, §§ 124-127 m.w.H.). Auch die allgemein als prekär zu bezeichnende Menschenrechtssituation im Iran lässt den Wegweisungsvollzug zum heutigen Zeitpunkt nicht als unzulässig erscheinen, zumal der Beschwerdeführer kein ernsthaftes Risiko darzulegen vermag, davon bei der Rückkehr betroffen zu sein.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Iran herrscht weder Krieg oder Bürgerkrieg noch eine Situation allgemeiner Gewalt, aufgrund derer eine Rückkehr generell unzumutbar wäre (vgl. statt vieler: Urteil des BVGer E-383/2021 vom 15. März 2021 E. 10.3.2).</w:t>
      </w:r>
    </w:p>
    <w:p>
      <w:r>
        <w:rPr>
          <w:b/>
        </w:rPr>
        <w:t>E. 10.3.3</w:t>
      </w:r>
    </w:p>
    <w:p>
      <w:r>
        <w:t>Sodann sind keine individuellen Gründe ersichtlich, die gegen einen Wegweisungsvollzug sprechen. Der Beschwerdeführer verfügt in seinem Heimatland über ein soziales Netzwerk und kann namentlich auf die Unterstützung seines Elternhauses und den mit ihm zurückkehrenden Ehefrau und Sohn zählen. Sodann verfügt er in seinem Heimatland über jahrelange Erfahrung als Erwerbstätiger, unter anderem auch als (...).</w:t>
      </w:r>
    </w:p>
    <w:p>
      <w:r>
        <w:rPr>
          <w:b/>
        </w:rPr>
        <w:t>E. 10.3.4</w:t>
      </w:r>
    </w:p>
    <w:p>
      <w:r>
        <w:t>Insgesamt erweist sich der Wegweisungsvollzug auch als zumutbar.</w:t>
      </w:r>
    </w:p>
    <w:p>
      <w:r>
        <w:rPr>
          <w:b/>
        </w:rPr>
        <w:t>E. 10.4</w:t>
      </w:r>
    </w:p>
    <w:p>
      <w:r>
        <w:t>Schliesslich obliegt es dem Beschwerdeführer, sich bei Bedarf bei der zuständigen Vertretung des Heimatstaates die für eine Rückkehr notwendigen Reisedokumente zu beschaffen (vgl. Art. 8 Abs. 4 AsylG und dazu auch BVGE 2008/34 E. 12). Im Zusammenhang mit der Corona-Pandemie ist festzuhalten, dass es sich dabei - wenn überhaupt - um ein bloss temporäres Vollzugshindernis handelt, welchem im Rahmen der Vollzugsmodalitäten durch die kantonalen Behörden Rechnung zu tragen ist, indem etwa der Zeitpunkt des Vollzugs der Situation im Herkunftsland angepasst wird. Insgesamt ist der Vollzug der Wegweisung als möglich zu bezeichnen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Das mit der Beschwerde gestellte Gesuch um Gewährung der unentgeltlichen Prozessführung wurde jedoch mit Zwischenverfügung vom 20. August 2018 gutgeheissen und der Beschwerdeführer ist von der Tragung der Verfahrenskosten somit befreit. Obwohl er inzwischen eine Erwerbstätigkeit aufgenommen hat, ist aufgrund deren relativ kurzen Dauer auf ein Zurückkommen der Kostenbefreiung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