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E-3631/2010 vom 26. August 2010</w:t>
      </w:r>
    </w:p>
    <w:p>
      <w:r>
        <w:t>Bundesverwaltungsgericht, 2010-08-26, DE</w:t>
      </w:r>
    </w:p>
    <w:p>
      <w:r>
        <w:rPr>
          <w:b/>
        </w:rPr>
        <w:t xml:space="preserve">Quelle: </w:t>
      </w:r>
      <w:r>
        <w:t>https://mcp.opencaselaw.ch/entscheid/bvger_E-3631_2010</w:t>
      </w:r>
    </w:p>
    <w:p>
      <w:r>
        <w:t>FR: TAF E-3631/2010 du 26 août 2010</w:t>
      </w:r>
    </w:p>
    <w:p>
      <w:r>
        <w:t>IT: TAF E-3631/2010 del 26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Zunächst ist festzuhalten, dass Täter und Hintergrund des Mordanschlags auf G._______ sowie des Drohanrufs an H._______ unbekannt sind und demnach keine konkreten Hinweise dafür vorliegen, dass diesen Übergriffen eines der in Art. 3 AsylG genannten, für die Zuerkennung der Flüchtlingseigenschaft massgeblichen Verfolgungsmotive zugrunde lag. Darüber hinaus ist der Vorinstanz beizupflichten, dass aus den von den Beschwerdeführenden geschilderten Umständen zu schliessen ist, die Verletzung des Beschwerdeführers 2 sei nicht gezielt erfolgt. Ebenso ergeben sich aus den Ausführungen zum Inhalt des Drohanrufs sowie den eingereichten Polizeiprotokollen keine konkreten Hinweise auf eine gezielte Verfolgung der Beschwerdeführenden. Aus diesen Gründen fehlt es den von den Beschwerdeführenden vorgebrachten Übergriffen auf sie und ihre Familienangehörigen - ungeachtet der Frage der Glaubhaftigkeit - an der flüchtlingsrechtlichen Relevanz. Die Ausführungen in der Beschwerdeeingabe sind nicht geeignet, zu einer anderen Einschätzung zu führen. Insbesondere sind aufgrund der fehlenden flüchtlingsrechtlichen Relevanz des Angriffs auf G._______ auch die Voraussetzungen zur Bejahung einer asylrechtlich relevanten Reflexverfolgung der Beschwerdeführenden nicht gegeben. Zudem vermag auch das nachgereichte Polizeiprotokoll vom 31. Mai 2010 an der fehlenden Asylrelevanz nichts zu ändern, weshalb auf die Übersetzung dieses fremdsprachigen Dokuments verzichtet werden kann.</w:t>
      </w:r>
    </w:p>
    <w:p>
      <w:r>
        <w:rPr>
          <w:b/>
        </w:rPr>
        <w:t>E. 5.2</w:t>
      </w:r>
    </w:p>
    <w:p>
      <w:r>
        <w:t>Zusammenfassend folgt, dass die Beschwerdeführenden keine Gründe nach Art. 3 AsylG nachweisen oder glaubhaft machen können. Die Vorinstanz hat die Asylgesuche der Beschwerdeführenden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in den Heimatstaat/Herkunftsstaat dort mit beachtlicher Wahrscheinlichkeit einer nach Art. 3 EMRK oder Art. 1 FoK verbotenen Strafe oder Behandlung ausgesetzt wären. Durch den Geltungsbereich von Art. 3 EMRK abgedeckt sind neben drohenden staatlichen Übergriffen auch Handlungen von privaten Akteuren, wobei eine entsprechende Gefahr ebenso im Aufenthaltsstaat wie in einem Drittstaat bestehen kann, was im letzteren Fall aus der Sicht des Aufenthaltsstaates ein Abschiebungsverbot bedeutet (menschenrechtliches Non-Refoulement). Geht die Gefahr von Zivilpersonen aus, muss die Gewährung eines wirksamen Schutzes ("protéction appropriée") durch die Behörden ausgeschlossen erscheinen. Von Art. 3 EMRK werden sodann nur Formen von Misshandlungen erfasst, die eine bestimmte Intensität erreichen. Zusätzlich muss eine konkrete Gefahr ("real risk") vorliegen, dass die betroffene Person solchen Beeinträchtigungen auch wirklich ausgesetzt wird (stellvertretend für viele vgl. das Urteil des EGMR vom 27. Mai 2008 i.S. N. gegen Grossbritannien [Beschwerde Nr. 26565/05], § 30 f.; EMARK 2002 Nr. 22 E. 4d.aa S. 179 f. und EMARK 2001 Nr. 16 E. 6a S. 122, jeweils mit weiteren Hinweisen). Vorliegend ergeben sich wie oben dargelegt keine hinreichenden Hinweise für die Annahme einer konkreten Gefährdung der Beschwerdeführenden. Zudem gehen nach den Erkenntnissen des Bundesverwaltungsgerichts im Kosovo die bisher zuständigen Behörden - im Rahmen ihrer Möglichkeiten - systematisch gegen Bedrohungen und Übergriffe Dritter vor, und es kann insoweit bis zum heutigen Zeitpunkt faktisch von einem präventiven und konkreten Schutzwillen und einer weitgehenden Schutzfähigkeit der im Kosovo tätigen nationalen und internationalen Sicherheitsbehörden, namentlich der UNMIK, KPS und "Kosovo Force" (KFOR), ausgegangen werden (zur Frage der Schutzgewährung durch internationale Organisationen im Kosovo vgl. BVGE 2007/31 E. 5.3 S. 380, EMARK 2006 Nr. 18, EMARK 2002 Nrn. 8 und 21). Zudem haben sich die Vertreter der neuen Regierung im Rahmen ihrer Unabhängigkeitserklärung verpflichtet, sämtliche Verträge und Absprachen, die sich aus dem "Umfassenden Vorschlag zur Regelung des Kosovostatus" des Sondergesandten des UNO-Generalsekretärs für den Prozess zur Bestimmung des künftigen Status des Kosovos ergeben, vollumfänglich zu erfüllen. Dass die lokalen Polizeibehörden in casu diesen Obliegenheiten nachkommen, ist daraus zu ersehen, dass gemäss den Schilderungen der Beschwerdeführenden eine Untersuchung des Mordanschlags vom 31. Dezember 2009 eingeleitet und in diesem Zusammenhang mehrere Personen kurzzeitig verhaftet wurden. Schliesslich lässt auch die allgemeine Menschenrechtssituation im Kosovo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Vorliegend ist der Vollzug der Wegweisung der Beschwerdeführenden in den Kosovo als zumutbar im Sinne von Art. 83 Abs. 4 AuG zu erachten, da sich aus den Akten keine Hinweise dafür ergeben, sie könnten bei einer Rückkehr in ihr Heimatland einer konkreten Gefährdung im Sinne der zu beachtenden Bestimmungen ausgesetzt sein. Im Kosovo herrscht keine Situation allgemeiner Gewalt, weshalb von der generellen Zumutbarkeit des Wegweisungsvollzugs ausgegangen wird. In den Akten finden sich auch keine konkreten Anhaltspunkte dafür, dass die der albanischen Ethnie zugehörenden Beschwerdeführenden aus individuellen Gründen wirtschaftlicher, sozialer oder gesundheitlicher Natur in eine existenzbedrohende Situation geraten würden. Sie verfügen in ihrem Heimatstaat über eine wirtschaftliche Existenzgrundlage sowie ein tragfähiges soziales Netz. Im Weiteren lassen die Eingabe vom 6. Juli 2010 sowie das damit eingereichte ärztliche Schreiben vom 2. Juli 2010 nicht auf derart gravierende gesundheitliche Probleme des Beschwerdeführers 2 schliessen, dass eine allenfalls nicht dem schweizerischen Standard entsprechende Weiterbehandlung eine drastische und lebensbedrohende Verschlechterung des Gesundheitszustandes nach sich ziehen würde (vgl. BVGE 2009/2 E. 9.3.2 S. 21; EMARK 2004 Nr. 7 E. 5d S. 51 f., EMARK 2003 Nr. 24 E. 5b S. 157 f.). Nach dem Gesagten erweist sich Vollzug der Wegweisung auch als zumutbar.</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und mit dem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