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E-3629/2010 vom 7. Mai 2012</w:t>
      </w:r>
    </w:p>
    <w:p>
      <w:r>
        <w:t>Bundesverwaltungsgericht, 2012-05-07, FR</w:t>
      </w:r>
    </w:p>
    <w:p>
      <w:r>
        <w:rPr>
          <w:b/>
        </w:rPr>
        <w:t xml:space="preserve">Quelle: </w:t>
      </w:r>
      <w:r>
        <w:t>https://mcp.opencaselaw.ch/entscheid/bvger_E-3629_2010</w:t>
      </w:r>
    </w:p>
    <w:p>
      <w:r>
        <w:t>FR: TAF E-3629/2010 du 7 mai 2012</w:t>
      </w:r>
    </w:p>
    <w:p>
      <w:r>
        <w:t>IT: TAF E-3629/2010 del 7 maggio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en matière d'asile et de renvoi est rejeté.</w:t>
      </w:r>
    </w:p>
    <w:p>
      <w:r>
        <w:rPr>
          <w:b/>
        </w:rPr>
        <w:t>E. 2</w:t>
      </w:r>
    </w:p>
    <w:p>
      <w:r>
        <w:t>Le recours en matière d'exécution du renvoi est radié du rôle.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L'ODM versera au recourant un montant de Fr. 230.- à titre de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