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E-3616/2022 vom 26. August 2022</w:t>
      </w:r>
    </w:p>
    <w:p>
      <w:r>
        <w:t>Bundesverwaltungsgericht, 2022-08-26, DE</w:t>
      </w:r>
    </w:p>
    <w:p>
      <w:r>
        <w:rPr>
          <w:b/>
        </w:rPr>
        <w:t xml:space="preserve">Quelle: </w:t>
      </w:r>
      <w:r>
        <w:t>https://mcp.opencaselaw.ch/entscheid/bvger_E-3616_2022</w:t>
      </w:r>
    </w:p>
    <w:p>
      <w:r>
        <w:t>FR: TAF E-3616/2022 du 26 août 2022</w:t>
      </w:r>
    </w:p>
    <w:p>
      <w:r>
        <w:t>IT: TAF E-3616/2022 del 26 agosto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w:t>
      </w:r>
    </w:p>
    <w:p>
      <w:r>
        <w:t>In der Beschwerde werden formelle Rügen erhoben, welche vorab zu beurteilen sind, da sie gegebenenfalls geeignet sind, eine Kassation der vor-instanzlichen Verfügungen zu bewirken. Der Beschwerdeführer rügt - mitten in den Ausführungen zum Materiellen - eine Verletzung des Untersuchungsgrundsatzes und damit sinngemäss die unvollständige Erstellung des rechtserheblichen Sachverhalts. Diesbezüglich führt er aus, die Vor-instanz hätte weitere Abklärungen zu seiner Notlage in Frankreich und zur Ausnutzung dieser Notlage durch F., zu den Haushaltsarbeiten und Pflegetätigkeiten der anderen beiden Personen, zum Vorliegen einer finanziellen Entschädigung sowie zur Bestreitung des Lebensunterhalts tätigen sollen. Gemäss Art. 12 VwVG stellt die Behörde den Sachverhalt von Amtes wegen fest und bedient sich nötigenfalls der gesetzlichen Beweismittel (Bstn. a-e). Unvollständig ist die Sachverhaltsfeststellung, wenn nicht alle für den Entscheid rechtswesentlichen Sachumstände berücksichtigt werden (vgl. Kölz/Häner/Bertschi, Verwaltungsverfahren und Verwaltungsrechtspflege des Bundes, 3. Aufl. 2013, Rz. 1043). Der Untersuchungsgrundsatz findet seine Grenze an der Mitwirkungspflicht der Asylsuchenden (Art. 8 AsylG; Art. 13 VwVG). Diesbezüglich ist festzuhalten, dass anlässlich der Anhörung MH der Beschwerdeführer nach der Arbeitsteilung zwischen ihm, F. und W. gefragt wurde und er diese Frage ausführlich und in freier Rede beantwortete (SEM-act. 32 F13). Im Weiteren war sein Rechtsvertreter während der gesamten Anhörung anwesend und konnte im Rahmen der Mitwirkungspflicht Fragen an den Beschwerdeführer stellen - was er im Übrigen auch tat (SEM-act. 32 F41 / 45 / 47 / 49). Falls dieser - entgegen der Vorinstanz - der Meinung gewesen wäre, der Sachverhalt sei in diesem Sachverhaltskomplex noch nicht vollständig erstellt, wäre es ihm offen gestanden, ergänzende Fragen zu stellen. Ferner legte die Vorinstanz ihre Gründe, welche im Sinne einer Gesamtwürdigung zum Schluss führten, es sei vorliegend nicht von einer Arbeitsausbeutung auszugehen, auf Seite 8 f. der angefochtenen Verfügung detailliert dar. Die Ausführungen in der Beschwerde vermögen diese Einschätzung offensichtlich nicht umzustossen. Die formellen Rügen erweisen sich als unbegründet, weshalb keine Veranlassung besteht, die Sache aufzuheben und an die Vorinstanz zurückzuweisen. Das entsprechende Eventualbegehren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das Verfahren zuständig ist und keine Überstellungshindernisse vorliegen,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5.3</w:t>
      </w:r>
    </w:p>
    <w:p>
      <w:r>
        <w:t>Im Rahmen eines Wiederaufnahmeverfahrens (engl.: take back) - wie vorliegend - findet indes grundsätzlich keine (erneute) Zuständigkeitsprüfung nach Kapitel III statt (vgl. zum Ganzen BVGE 2017 VI/5 E. 6.2 und 8.2.1 m.w.H.). Der nach dieser Verordnung zuständige Mitgliedstaat ist verpflichtet, einen Drittstaatsangehörigen oder Staatenlosen, dessen Antrag von ihm abgelehnt wurde und der in einem anderen Mitgliedstaat einen Antrag gestellt hat oder der sich im Hoheitsgebiet eines anderen Mitgliedstaats ohne Aufenthaltstitel aufhält, nach Massgabe der Artikel 23, 24, 25 und 29 wiederaufzunehmen (Art. 18 Abs. 1 Bst. d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Dublin-III-VO beschliessen, einen bei ihm von einem Drittstaatsangehörigen gestellten Antrag auf internationalen Schutz zu prüfen, auch wenn er nach den in dieser Verordnung festgelegten Kriterien nicht für die Prüfung zuständig ist (Art. 17 Abs. 1 Satz 1 Dublin-III-VO; sog. Selbsteintrittsrecht).</w:t>
      </w:r>
    </w:p>
    <w:p>
      <w:r>
        <w:rPr>
          <w:b/>
        </w:rPr>
        <w:t>E. 6.1</w:t>
      </w:r>
    </w:p>
    <w:p>
      <w:r>
        <w:t>Der Beschwerdeführer bestreitet nicht, sich vor der Einreise in die Schweiz in Frankreich aufgehalten und dort um Asyl nachgesucht zu haben. Nachdem die französischen Behörden innerhalb der in Art. 25 Abs. 1 Dublin-III-VO festgelegten Frist dem Wiederaufnahmegesuch des SEM zugestimmt haben, steht die Zuständigkeit Frankreichs grundsätzlich fest.</w:t>
      </w:r>
    </w:p>
    <w:p>
      <w:r>
        <w:rPr>
          <w:b/>
        </w:rPr>
        <w:t>E. 6.2</w:t>
      </w:r>
    </w:p>
    <w:p>
      <w:r>
        <w:t>Im Lichte von Art. 3 Abs. 2 Dublin-III-VO ist zu prüfen, ob es wesentliche Gründe für die Annahme gibt, das Asylverfahren und die Aufnahmebedingungen für Asylsuchende in Frankreich würden systemische Schwachstellen aufweisen, die eine Gefahr einer unmenschlichen oder entwürdigenden Behandlung im Sinne des Artikels 4 der EU-Grundrechtecharta mit sich bringen würden. Frankreich ist Signatarstaat der EMRK, des Übereinkommens vom 10. Dezember 1984 gegen Folter und andere grausame, unmenschliche oder erniedrigende Behandlung oder Strafe (FoK, SR 0.105), des Abkommens vom 28. Juli 1951 über die Rechtsstellung der Flüchtlinge (FK, SR 0.142.30) und des Zusatzprotokolls der FK vom 31. Januar 1967 (SR 0.142.301) sowie des Übereinkommens zur Bekämpfung des Menschenhandels (ÜBM, SR 0.311.543)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Unter diesen Umständen ist die Anwendung von Art. 3 Abs. 2 Dublin-III-VO nicht gerechtfertigt.</w:t>
      </w:r>
    </w:p>
    <w:p>
      <w:r>
        <w:rPr>
          <w:b/>
        </w:rPr>
        <w:t>E. 7.1</w:t>
      </w:r>
    </w:p>
    <w:p>
      <w:r>
        <w:t>Der Beschwerdeführer fordert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7.2</w:t>
      </w:r>
    </w:p>
    <w:p>
      <w:r>
        <w:t>Der Beschwerdeführer hat kein konkretes und ernsthaftes Risiko dargetan, das darauf schliessen liesse, die französischen Behörden würden sich weigern, ihn aufzunehmen und seinen Antrag auf internationalen Schutz unter Einhaltung der Regeln der Verfahrensrichtlinie zu prüfen. Den Akten sind auch keine Gründe für die Annahme zu entnehmen, Frankreich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Überführung erwartenden Bedingungen in Frankreich seien derart schlecht, dass er zu einer Verletzung von Art. 4 der EU-Grundrechtecharta, Art. 3 und Art. 4 EMRK oder Art. 3 FoK führen könnten.</w:t>
      </w:r>
    </w:p>
    <w:p>
      <w:r>
        <w:rPr>
          <w:b/>
        </w:rPr>
        <w:t>E. 7.3</w:t>
      </w:r>
    </w:p>
    <w:p>
      <w:r>
        <w:t>Ob eine Verletzung von Art. 4 EMRK vorliegt, ist auch in einem Dublin-Verfahren zu berücksichtigen, da es sich - wie Art. 3 EMRK - bei dieser Bestimmung um eine völkerrechtliche Verpflichtung handelt (vgl. dazu u.a. Urteil des BVGer F-3409/2019 vom 14. April 2020 E. 7). Der Vorinstanz ist insbesondere zuzustimmen, dass nicht von einer Arbeitsausbeutung des Beschwerdeführers durch F. und W. auszugehen ist. Diesbezüglich hat sie richtig festgestellt, dass der Beschwerdeführer nicht aufgrund von falschen Versprechungen seine Heimat verlassen habe und die Wohnung, unter Berücksichtigung der Pflege von W., unter anderem selbständig habe verlassen können. Es ist vorliegend von einer freien und ungezwungenen Abmachung zwischen ihm und F. auszugehen. Um Wiederholungen zu vermeiden, ist auf die ausführlichen Erwägungen in der angefochtenen Verfügung zu verweisen. Auch hinsichtlich der Vorbringen des Beschwerdeführers, er sei in der Schweiz Opfer von Menschenhandel im Sinne der sexuellen Ausbeutung geworden, kann vollumfänglich auf die vorinstanzlichen Erwägungen verwiesen werden. Hinsichtlich der Strafanzeige ist nicht nachvollziehbar, weshalb der Beschwerdeführer sich zirka ein halbes Jahr in der Wohnung von F. und W. aufgehalten hat, ohne eine solche einzureichen. Da sich die Wohnung im Kanton Waadt, einem Kanton mit französischer Amtssprache, befand, wäre ein Dolmetscher für die Einreichung einer solchen nicht notwendig gewesen. Ebenfalls unverständlich ist der Versuch des rechtlich vertretenen Beschwerdeführers, in einem deutschsprachigen Kanton in französischer Sprache eine Strafanzeige einreichen zu wollen und auf Beschwerdeebene zu monieren, die Polizei in D._______ ([deutschsprachiger Kanton], Anmerkung BVGer) habe die «Bedingung» gestellt, dass ein Dolmetscher zugegen sein müsse. Im Weiteren ist, unter Verweis auf die angefochtene Verfügung, festzustellen, dass der Beschwerdeführer den Termin zur Anzeigeerstattung absagte, obwohl die Vorinstanz ihm genügend Zeit einräumte, um den Termin zu verschieben oder einen Dolmetscher zu organisieren. Zudem führt der Beschwerdeführer nicht aus, weshalb er seit dem ersten Versuch zur Anzeigeerstattung vom 23. Juni 2022 bis dato keine Anzeige eingereicht hat und stattdessen in der Beschwerde eine Anzeigeerstattung in einem westschweizer Kanton für den 26. August 2022 in Aussicht stellt. Das rechtsmissbräuchliche Zuwarten der Einreichung einer Strafanzeige, lediglich zum Zweck, die Wegweisung nach Frankreich zu verzögern oder zu verhindern, wird von der Rechtsordnung nicht geschützt. Nach dem Gesagten ist festzustellen, dass insbesondere aufgrund der fehlenden Ernsthaftigkeit seines Bemühens um Einreichung einer Strafanzeige und aufgrund der Aktenlage sowie unter Verweis auf die angefochtene Verfügung nicht davon auszugehen ist, der Beschwerdeführer sei Opfer von Menschenhandel im Sinne der sexuellen Ausbeutung geworden. Aufgrund dessen ist mit der Vorinstanz einherzugehen, dass das Nichtgewähren von Erholungs- und Bedenkzeit rechtmässig war. Nach dem Gesagten hat die Vorinstanz Art. 4 EMRK offensichtlich nicht verletzt.</w:t>
      </w:r>
    </w:p>
    <w:p>
      <w:r>
        <w:rPr>
          <w:b/>
        </w:rPr>
        <w:t>E. 7.4</w:t>
      </w:r>
    </w:p>
    <w:p>
      <w:r>
        <w:t>Der Beschwerdeführer hat auch keine konkreten Hinweise für die Annahme dargetan, Frankreich würde ihm dauerhaft die ihm gemäss Aufnahmerichtlinie zustehenden minimalen Lebensbedingungen vorenthalten. Bei einer allfälligen vorübergehenden Einschränkung könnte er sich im Übrigen nötigenfalls an die französischen Behörden wenden und die ihr zustehenden Aufnahmebedingungen auf dem Rechtsweg einfordern (vgl. Art. 26 Aufnahmerichtlinie).</w:t>
      </w:r>
    </w:p>
    <w:p>
      <w:r>
        <w:rPr>
          <w:b/>
        </w:rPr>
        <w:t>E. 7.5</w:t>
      </w:r>
    </w:p>
    <w:p>
      <w:r>
        <w:t>Der Beschwerdeführer beruft sich darauf, sein Gesundheitszustand stehe einer Überstellung entgegen; gemäss dem aktuellen ärztlichen Bericht, dem Austrittsbericht vom (...) 2022, wurde bei ihm im Rahmen einer Hauptdiagnose eine (...) diagnostiziert. Bei Austritt aus den (...) Spitals E._______ stellten die medizinischen Fachpersonen fest, beim Beschwerdeführer lägen keine Anhaltspunkte für (...) vor. (...). Zudem geht aus den Akten hervor, dass er in Frankreich aufgrund einer (...) operativ behandelt worden ist. Die diesbezüglichen Vorbringen in der Beschwerdeschrift, es gehe aus den Akten unbestrittenermassen hervor, dass der Beschwerdeführer aufgrund seines psychischen Zustandes hochvulnerabel sei, sind demnach nicht nachvollziehbar. Im Weiteren erreichen die geltend gemachten medizinischen Probleme nicht die in Übereinstimmung mit der Rechtsprechung des EGMR erforderliche Schwere, bei der die Schweiz zu einem Selbsteintritt verpflichtet wäre. Eine zwangsweise Rückweisung von Personen mit gesundheitlichen Problemen kann nur ganz ausnahmsweise einen Verstoss gegen Art. 3 EMRK darstellen. Dies ist insbesondere dann der Fall, wenn die betroffene Person sich in einem fortgeschrittenen oder terminalen Krankheitsstadium befindet oder bei einer Überstellung mit einem realen Risiko einer ernsten, raschen und unwiederbringlichen Verschlechterung ihres Gesundheitszustands konfrontiert ist (vgl. BVGE 2011/9 E. 7 mit Hinweisen auf die damalige Praxis des EGMR). Eine solche Konstellation liegt beim Beschwerdeführer nicht vor. Sollte er auf ärztliche Behandlung angewiesen sein, muss er diese in Frankreich einfordern. Dieses verfügt über eine ausreichende medizinische Infrastruktur und ist aufgrund der Aufnahmerichtlinie verpflichtet, ihm die erforderliche Behandlung zukommen zu lassen. Dasselbe gilt für die befürchtete Obdachlosigkeit, die der Beschwerdeführer nicht konkret belegt, sondern generell rügt (vgl. die Hinweise auf fehlende Unterbringung Asylsuchender und weggewiesener Personen im AIDA Country Report, S. 87 ff.). Sollte er bei seiner Rückkehr in Frankreich als abgewiesener Asylsuchender nicht grundrechtskonform, d.h. insbesondere unter Gewährleistung einer menschenwürdigen Notversorgung, untergebracht werden, hat er dies nötigenfalls auf dem Rechtsweg einzufordern (vgl. Urteil des BVGer F-4865/2020 vom 8. Oktober 2020 E. 5.1). Ein Selbsteintritt aus humanitären Gründen ist bei dieser Sachlage nicht angezeigt. Den Akten sind keine Hinweise auf einen vorinstanzlichen Ermessensmissbrauch oder ein Über- respektive Unterschreiten des Ermessens zu entnehmen, weshalb die Vorinstanz zu Recht gestützt auf Art. 31a Abs. 1 Bst. b AsylG auf das Asylgesuch des Beschwerdeführers nicht eingetreten ist und die Überstellung nach Frankreich angeordnet hat. Ferner ist es aufgrund des derzeitigen Erkenntnisstandes nicht angezeigt, das SEM dazu zu verpflichten, bei den französischen Behörden Garantien dafür einzuholen, dass diese sich an die von ihnen eingegangenen völkerrechtlichen Verpflichtungen inklusive die adäquate und nahtlose psychotherapeutische medizinische Versorgung sowie eine nahtlose Unterbringung in den Strukturen für vulnerable Personen halten.</w:t>
      </w:r>
    </w:p>
    <w:p>
      <w:r>
        <w:rPr>
          <w:b/>
        </w:rPr>
        <w:t>E. 7.6</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8</w:t>
      </w:r>
    </w:p>
    <w:p>
      <w:r>
        <w:t>Somit bleibt Frankreich der für die Behandlung des Asylgesuchs des Beschwerdeführers zuständige Mitgliedstaat gemäss Dublin-III-VO. Frankreich ist verpflichtet, das Asylverfahren gemäss Art. 21, 22 und 29 aufzunehmen, sofern der Beschwerdeführer bei den französischen Behörden um Asyl nachsucht. Es erübrigt sich, auf die weiteren Ausführungen in den Beschwerdeeingaben und die eingereichten Beweismittel im Einzelnen einzugehen, da sie an der vorgenommenen Würdigung des vorliegenden Sachverhalts nichts zu ändern vermögen.</w:t>
      </w:r>
    </w:p>
    <w:p>
      <w:r>
        <w:rPr>
          <w:b/>
        </w:rPr>
        <w:t>E. 9</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Frankreich in Anwendung von Art. 44 AsylG ebenfalls zu Recht angeordnet (Art. 32 Bst. a AsylV 1).</w:t>
      </w:r>
    </w:p>
    <w:p>
      <w:r>
        <w:rPr>
          <w:b/>
        </w:rPr>
        <w:t>E. 10</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11</w:t>
      </w:r>
    </w:p>
    <w:p>
      <w:r>
        <w:t>Nach dem Gesagten ist die Beschwerde abzuweisen und die Verfügung des SEM zu bestätigen.</w:t>
      </w:r>
    </w:p>
    <w:p>
      <w:r>
        <w:rPr>
          <w:b/>
        </w:rPr>
        <w:t>E. 12</w:t>
      </w:r>
    </w:p>
    <w:p>
      <w:r>
        <w:t>Das Beschwerdeverfahren ist mit vorliegendem Urteil abgeschlossen, weshalb sich der Antrag auf Erlass vorsorglicher Massnahmen und auf Gewährung der aufschiebenden Wirkung als gegenstandslos erweist.</w:t>
      </w:r>
    </w:p>
    <w:p>
      <w:r>
        <w:rPr>
          <w:b/>
        </w:rPr>
        <w:t>E. 13</w:t>
      </w:r>
    </w:p>
    <w:p>
      <w:r>
        <w:t>Das Gesuch um Gewährung der unentgeltlichen Prozessführung ist abzuweisen, da die Begehren - wie sich aus den vorstehenden Erwägungen ergibt - als aussichtslos zu bezeichnen sind. Mit dem Entscheid in der Hauptsache ist das Begehren um Erlass des Kostenvorschusses gegenstandslos geworden.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