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E-3612/2024 vom 6. Mai 2024</w:t>
      </w:r>
    </w:p>
    <w:p>
      <w:r>
        <w:t>Bundesverwaltungsgericht, 2024-05-06, FR</w:t>
      </w:r>
    </w:p>
    <w:p>
      <w:r>
        <w:rPr>
          <w:b/>
        </w:rPr>
        <w:t xml:space="preserve">Quelle: </w:t>
      </w:r>
      <w:r>
        <w:t>https://mcp.opencaselaw.ch/entscheid/bvger_E-3612_2024_d20240506</w:t>
      </w:r>
    </w:p>
    <w:p>
      <w:r>
        <w:t>FR: TAF E-3612/2024 du 6 mai 2024</w:t>
      </w:r>
    </w:p>
    <w:p>
      <w:r>
        <w:t>IT: TAF E-3612/2024 del 6 maggio 2024</w:t>
      </w:r>
    </w:p>
    <w:p>
      <w:pPr>
        <w:pStyle w:val="Heading2"/>
      </w:pPr>
      <w:r>
        <w:t>Regeste</w:t>
      </w:r>
    </w:p>
    <w:p>
      <w:r>
        <w:t>Asile et renvoi | Asile et renvoi; décision du SEM du 6 mai 2024</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w:t>
      </w:r>
    </w:p>
    <w:p>
      <w:r>
        <w:t>E-3612/2024 Page 11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un sérieux préjudice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qu'elle est également raisonnablement exigible (cf. art. 83 al. 4 LEI a contrario ; ATAF 2014/26 consid. 7.3 à 7.10 ; ATAF 2011/50 consid. 8.3), dans la mesure où elle ne fait pas apparaître, en l'espèce, une mise en danger concrète du recourant, qu'en effet, la Colombie ne connaît pas, sur l’ensemble de son territoire, une situation de guerre, de guerre civile ou de violence généralisée, qu’en outre, il ne ressort du dossier aucun élément dont on pourrait inférer que l'exécution du renvoi impliquerait une mise en danger concrète du recourant pour des motifs qui lui seraient propres, que, comme déjà dit, les facteurs favorables à sa réinstallation dans son pays d’origine mis en évidence par le SEM sont demeurés incontestés,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8 al. 4 LAsi et ATAF 2008/34 consid. 12),</w:t>
      </w:r>
    </w:p>
    <w:p>
      <w:r>
        <w:t>E-3612/2024 Page 12 qu’au vu de ce qui précède, le recours, en tant qu’il conteste le renvoi et l’exécution de cette mesure, doit également être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est rejetée (cf. 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E-3612/2024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