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E-3612/2024 vom 14. Februar 2025</w:t>
      </w:r>
    </w:p>
    <w:p>
      <w:r>
        <w:t>Bundesverwaltungsgericht, 2025-02-14, FR</w:t>
      </w:r>
    </w:p>
    <w:p>
      <w:r>
        <w:rPr>
          <w:b/>
        </w:rPr>
        <w:t xml:space="preserve">Quelle: </w:t>
      </w:r>
      <w:r>
        <w:t>https://mcp.opencaselaw.ch/entscheid/bvger_E-3612_2024</w:t>
      </w:r>
    </w:p>
    <w:p>
      <w:r>
        <w:t>FR: TAF E-3612/2024 du 14 février 2025</w:t>
      </w:r>
    </w:p>
    <w:p>
      <w:r>
        <w:t>IT: TAF E-3612/2024 del 14 febbraio 2025</w:t>
      </w:r>
    </w:p>
    <w:p>
      <w:pPr>
        <w:pStyle w:val="Heading2"/>
      </w:pPr>
      <w:r>
        <w:t>Regeste</w:t>
      </w:r>
    </w:p>
    <w:p>
      <w:r>
        <w:t>Asile et renvoi</w:t>
      </w:r>
    </w:p>
    <w:p>
      <w:pPr>
        <w:pStyle w:val="Heading2"/>
      </w:pPr>
      <w:r>
        <w:t>Erwägungen</w:t>
      </w:r>
    </w:p>
    <w:p>
      <w:r>
        <w:rPr>
          <w:b/>
        </w:rPr>
        <w:t>E. 11</w:t>
      </w:r>
    </w:p>
    <w:p>
      <w:r>
        <w:t>août 1999 (OA 1, RS 142.311) n'étant réalisée, en l'absence notamment d'un droit du recourant à une autorisation de séjour ou d'établissement, le Tribunal est tenu de confirmer le renvoi (cf. art. 44 LAsi), que, conformément à l'art. 83 al. 1 LEI (RS 142.20), auquel renvoie l'art. 44 in fine LAsi, le SEM décide d'admettre provisoirement l'étranger si l'exécution du renvoi ou de l'expulsion n'est pas possible, n'est pas licite ou ne peut être raisonnablement exigée,</w:t>
      </w:r>
    </w:p>
    <w:p>
      <w:r>
        <w:t>E-3612/2024 Page 11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un sérieux préjudice au sens de l’art. 3 LAsi (cf. supra),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qu’au vu de ce qui précède, l’exécution du renvoi s’avère licite au sens de l’art. 83 al. 3 LEI a contrario, qu'elle est également raisonnablement exigible (cf. art. 83 al. 4 LEI a contrario ; ATAF 2014/26 consid. 7.3 à 7.10 ; ATAF 2011/50 consid. 8.3), dans la mesure où elle ne fait pas apparaître, en l'espèce, une mise en danger concrète du recourant, qu'en effet, la Colombie ne connaît pas, sur l’ensemble de son territoire, une situation de guerre, de guerre civile ou de violence généralisée, qu’en outre, il ne ressort du dossier aucun élément dont on pourrait inférer que l'exécution du renvoi impliquerait une mise en danger concrète du recourant pour des motifs qui lui seraient propres, que, comme déjà dit, les facteurs favorables à sa réinstallation dans son pays d’origine mis en évidence par le SEM sont demeurés incontestés, que l'exécution du renvoi est enfin possible (cf. art. 83 al. 2 LEI a contrario), le recourant étant en possession de documents suffisants pour rentrer dans son pays ou, à tout le moins, en mesure d'entreprendre toute démarche nécessaire auprès de la représentation de son pays d'origine en vue de l'obtention de documents de voyage lui permettant de quitter la Suisse (cf. art. 8 al. 4 LAsi et ATAF 2008/34 consid. 12),</w:t>
      </w:r>
    </w:p>
    <w:p>
      <w:r>
        <w:t>E-3612/2024 Page 12 qu’au vu de ce qui précède, le recours, en tant qu’il conteste le renvoi et l’exécution de cette mesure, doit également être rejeté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partielle est rejetée (cf. art. 65 al. 1 PA),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E-3612/2024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