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E-3602/2010 vom 19. April 2012</w:t>
      </w:r>
    </w:p>
    <w:p>
      <w:r>
        <w:t>Bundesverwaltungsgericht, 2012-04-19, FR</w:t>
      </w:r>
    </w:p>
    <w:p>
      <w:r>
        <w:rPr>
          <w:b/>
        </w:rPr>
        <w:t xml:space="preserve">Quelle: </w:t>
      </w:r>
      <w:r>
        <w:t>https://mcp.opencaselaw.ch/entscheid/bvger_E-3602_2010</w:t>
      </w:r>
    </w:p>
    <w:p>
      <w:r>
        <w:t>FR: TAF E-3602/2010 du 19 avril 2012</w:t>
      </w:r>
    </w:p>
    <w:p>
      <w:r>
        <w:t>IT: TAF E-3602/2010 del 19 aprile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d'établir la pertinence de ses motifs.</w:t>
      </w:r>
    </w:p>
    <w:p>
      <w:r>
        <w:rPr>
          <w:b/>
        </w:rPr>
        <w:t>E. 3.2</w:t>
      </w:r>
    </w:p>
    <w:p>
      <w:r>
        <w:t>Le Tribunal ne remet certes pas en cause la crédibilité générale du récit du recourant. Toutefois, les conditions d'un octroi de l'asile ne sont pas remplies, puisque les motifs des menaces qui lui auraient été adressées - respectivement, de la poursuite pénale engagée contre lui - ne correspondent pas à ceux limitativement prévus à l'art. 3 LAsi : A._______ a été en l'occurrence confronté à un risque de vengeance privée, et à une procédure pénale, en raison de sa relation avec une jeune fille, contre la volonté de la famille de celle-ci. Force est donc de constater que ce risque était sans rapport avec un engagement politique ou l'appartenance à un groupe religieux, ethnique ou social particulier ; le recourant n'a d'ailleurs jamais prétendu que tel soit le cas. Dans ces conditions, l'argumentation du recourant portant sur la gravité et le fort degré de probabilité des risques encourus, est ici sans pertinence. En effet, les menaces de représailles visant l'intéressé avant son départ ne répondaient pas à un des motifs spécifiés à l'art. 3 LAsi. Il en serait de même dans le cas où elles se renouvelleraient après son retour ; il n'en va pas autrement de la procédure pénale ouverte, à supposer qu'elle soit toujours en cours.</w:t>
      </w:r>
    </w:p>
    <w:p>
      <w:r>
        <w:rPr>
          <w:b/>
        </w:rPr>
        <w:t>E. 3.3</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constate que l'intéressé n'a pas établi la forte probabilité d'un risque de cette nature.</w:t>
      </w:r>
    </w:p>
    <w:p>
      <w:r>
        <w:rPr>
          <w:b/>
        </w:rPr>
        <w:t>E. 6.5.1</w:t>
      </w:r>
    </w:p>
    <w:p>
      <w:r>
        <w:t>En premier lieu, il apparaît qu'une procédure pénale a été ouverte contre le recourant, quand bien même il est malaisément explicable que ses familiers aient eu communication du mandat d'arrêt le visant. Or cet élément est, contrairement à ce qu'il affirme, un facteur susceptible de diminuer les risques pouvant le menacer : le fait que la famille de B._______ ait déposé une plainte contre lui indique bien qu'elle a renoncé, dans les faits, à exercer une vengeance personnelle contre le recourant ; en effet, dans le cas contraire, les proches de son amie ne se seraient pas souciés d'entamer de telles démarches. Dès lors, les autorités judiciaires et de police étant saisies de son cas, il y a tout lieu d'admettre que l'intéressé se trouvera, en cas de retour, à l'abri des représailles qu'il pouvait risquer au moment de son départ. Le fait que les autorités en charge de la zone autonome kurde éprouvent encore des difficultés à empêcher les actes de vengeance privée (cf. ATAF 2008/4 consid. 6.7 p. 52-53) perd donc, dans le cas d'espèce, de son importance ; l'ancienneté des événements est d'ailleurs de nature à amoindrir encore ce danger.</w:t>
      </w:r>
    </w:p>
    <w:p>
      <w:r>
        <w:rPr>
          <w:b/>
        </w:rPr>
        <w:t>E. 6.5.2</w:t>
      </w:r>
    </w:p>
    <w:p>
      <w:r>
        <w:t>Par ailleurs, l'infraction dont est accusé le recourant - à supposer qu'elle soit toujours d'actualité - ne l'expose pas à une sanction exorbitante. L'intéressé est en effet accusé en vertu de l'art. 397 du code pénal irakien. Cette disposition punit d'une peine d'emprisonnement l'atteinte d'ordre sexuel infligée, sans violence ni menace, à un(e) mineur(e) ; la loi n'entend pas spécifiquement réprimer ainsi les actes sexuels proprement dit, mais chaque contact physique inapproprié, tel qu'un attouchement. Il s'agit de l'infraction aux moeurs considérée comme la moins grave (cf. Safaa Aldden Gaznai, thèse : La répression discriminatoire des infractions liées à la sexualité en droit pénal irakien, Université de Cergy-Pontoise, octobre 2011, p. 282-284, consultable sous http://biblioweb.u-cergy.fr/theses/2011CERG0535.pdf). La peine d'emprisonnement simple est, en droit irakien, de cinq ans au plus ; dans la pratique toutefois, les sanctions infligées en application de l'art. 397 sont beaucoup moins lourdes, hors circonstances aggravantes non réalisées ici (cf. Safaa Aldden Gaznai, op. cit., p. 310-311 ; nombreux exemples jurisprudenciels donnés par l'auteur, p. 287ss). Dans la mesure où le recourant n'est ainsi pas accusé d'une infraction grave, il n'y a aucun motif pour que la peine qu'il risque soit particulièrement sévère. En outre, la peine de détention ferme qu'il pourrait se voir infliger, le cas échéant, ne constitue pas en soi un traitement incompatible avec l'art. 3 CEDH.</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Comme la jurisprudence l'a constaté (cf. ATAF 2008/5 cons. 7.5. p. 65-73 ; cf. également Home Office, Country of Origin Information Report, Iraq, mai 2008, p. 58-60), la situation dans les trois provinces kurdes de Dohuk, Erbil et Suleimaniya est suffisamment stable pour que l'exécution du renvoi y soit raisonnablement exigible, en tout cas pour les hommes célibataires originaires de la région, qui y ont longtemps vécu, et qui y disposent d'un réseau social et familial suffisant, ou de relations avec les partis dominants. Cette jurisprudence prend en considération les sérieuses difficultés que doivent affronter les intéressés lors de leur retour, notamment pour trouver un emploi suffisamment rémunéré et un logement, et ce dans un contexte de forte augmentation du coût de la vie. Dans ces conditions, il est important qu'en cas de retour au Kurdistan, les intéressés puissent compter sur un réseau social ou sur des liens avec les partis dominants (cf. ATAF 2008/5 consid. 7.5 in fine, p. 73).</w:t>
      </w:r>
    </w:p>
    <w:p>
      <w:r>
        <w:rPr>
          <w:b/>
        </w:rPr>
        <w:t>E. 7.3</w:t>
      </w:r>
    </w:p>
    <w:p>
      <w:r>
        <w:t>Dans le cas de A._______, il apparaît que les conditions d'un retour dans la province de Suleimaniya, où il a toujours vécu, sont réunies. En effet, il est jeune, sans charge de famille, au bénéfice d'une certaine expérience professionnelle dans le négoce paternel et n'a pas allégué de problème de santé particulier. En outre, il dispose d'un réseau familial suffisant, ses parents et ses quatre frères et soeurs vivant tous à Suleimaniya.</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Le Tribunal fait droit à la requête du recourant et admet la requête d'assistance judiciaire partielle, compte tenu de son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