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E-3601/2023 vom 5. Juli 2023</w:t>
      </w:r>
    </w:p>
    <w:p>
      <w:r>
        <w:t>Bundesverwaltungsgericht, 2023-07-05, DE</w:t>
      </w:r>
    </w:p>
    <w:p>
      <w:r>
        <w:rPr>
          <w:b/>
        </w:rPr>
        <w:t xml:space="preserve">Quelle: </w:t>
      </w:r>
      <w:r>
        <w:t>https://mcp.opencaselaw.ch/entscheid/bvger_E-3601_2023</w:t>
      </w:r>
    </w:p>
    <w:p>
      <w:r>
        <w:t>FR: TAF E-3601/2023 du 5 juillet 2023</w:t>
      </w:r>
    </w:p>
    <w:p>
      <w:r>
        <w:t>IT: TAF E-3601/2023 del 5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Die Beschwerdeführenden rügen in formeller Hinsicht, die Vorinstanz habe das Kindswohl nur ungenügend berücksichtigt und den medizinischen Sachverhalt ungenügend abgeklärt. Diese Rügen sind vorab zu prüfen, da sie geeignet sind, eine Kassation der angefochtenen Verfügung herbeizuführen.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Hinsichtlich der Rüge, die Vorinstanz habe dem Kindswohl keine vorrangige Bedeutung eingeräumt, verweisen die Beschwerdeführenden auf verschiedene Fälle vor dem Committee on the Rights of he Child (CRC). Der EGMR räume dem Kindswohl gestützt auf das Übereinkommen vom 20. November 1989 über die Rechte des Kindes (nachfolgend: KRK, SR 0.107) vorrangige Bedeutung ein. Es müsse daher aus den Entscheiden nachvollziehbar hervorgehen, inwiefern das Kindswohl berücksichtigt worden sei. Die pauschale Aussage, dass das Kindswohl in Kroatien beachtet und respektiert werde, genüge nicht.</w:t>
      </w:r>
    </w:p>
    <w:p>
      <w:r>
        <w:rPr>
          <w:b/>
        </w:rPr>
        <w:t>E. 4.3.1</w:t>
      </w:r>
    </w:p>
    <w:p>
      <w:r>
        <w:t>Aus den Akten ergeben sich keine Hinweise, dass das SEM das Kindeswohl nicht beachtet hat. Vielmehr kann der angefochtenen Verfügung entnommen werden, dass das SEM die von den Beschwerdeführenden dargelegte Situation (die Umstände nach ihrer Ankunft in Kroatien und den Geschehnissen bei ihrer Ausreise an der Grenze zu Slowenien) Kenntnis genommen hat und zum Schluss gekommen ist, dass vorliegend das Kindswohl in Kroatien spezielle Beachtung finde und respektiert werde. Folglich ist keine Begründungspflichtverletzung erkennbar.</w:t>
      </w:r>
    </w:p>
    <w:p>
      <w:r>
        <w:rPr>
          <w:b/>
        </w:rPr>
        <w:t>E. 4.4</w:t>
      </w:r>
    </w:p>
    <w:p>
      <w:r>
        <w:t>Soweit die Beschwerdeführenden darauf hinweisen, die Vorinstanz habe in Bezug auf ihre verschiedenen Krankheiten keine gesamthafte Prüfung vorgenommen und den medizinischen Sachverhalt ungenügend abgeklärt, geht auch diese Rüge fehl. Aufgrund der Akten ist festzustellen, dass das SEM gestützt auf die vorliegenden umfangreichen medizinischen Unterlagen keinen Anlass hatte, von sich aus weitere Abklärungen der gesundheitlichen Probleme der Beschwerdeführenden in die Wege zu leiten. Die Vorinstanz hat die gesundheitliche Situation der Beschwerdeführenden in ihren Erwägungen berücksichtigt und sich mit den einzelnen gesundheitlichen Beschwerden der Beschwerdeführenden eingehend auseinandergesetzt. Dies gilt insbesondere auch hinsichtlich der bei (...) diagnostizierten Krankheiten und dem abklärungsbedürftigen OSAS (obstruktives Schlafapnoesyndrom), für das eine ärztliche Untersuchung im August 2023 vorgesehen wurde.</w:t>
      </w:r>
    </w:p>
    <w:p>
      <w:r>
        <w:rPr>
          <w:b/>
        </w:rPr>
        <w:t>E. 4.5</w:t>
      </w:r>
    </w:p>
    <w:p>
      <w:r>
        <w:t>Der blosse Umstand, dass die Beschwerdeführenden die Beurteilung durch das SEM nicht teilen, stellt weder eine Verletzung der Begründungspflicht, des Anspruchs auf rechtliches Gehör im engeren Sinn noch der Pflicht zur vollständigen und richtigen Abklärung des rechtserheblichen Sachverhalts dar. Ob die materielle Beurteilung des SEM zutrifft, ist nachfolgend zu prüfen.</w:t>
      </w:r>
    </w:p>
    <w:p>
      <w:r>
        <w:rPr>
          <w:b/>
        </w:rPr>
        <w:t>E. 4.6</w:t>
      </w:r>
    </w:p>
    <w:p>
      <w:r>
        <w:t>Nach dem Gesagten erweisen sich die formellen Rügen als unbegründet. Es besteht keine Veranlassung, die Sache zur rechtsgenüglichen Sachverhaltsabklärung und Begründung sowie Neubeurteilung an die Vorinstanz zurückzuweisen. Das diesbezügliche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das Urteil des EuGHs [Grosse Kammer] vom 2. April 2019, H. und R., C 582/17 und C-583/17, EU:C:2019:280, Rn. 47-50; BVGE 2019 VI/7 E. 4-6, 2017 VI/5 E. 6.2 und 8.2.1 m.H.).</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6.1</w:t>
      </w:r>
    </w:p>
    <w:p>
      <w:r>
        <w:t>Vorliegend ist unbestritten und durch den Abgleich der Fingerabdrücke mit der Zentraleinheit Eurodac belegt, dass die Beschwerdeführenden am 29. Oktober 2022 in Kroatien als asylsuchende Person registriert worden sind. Die kroatischen Behörden haben dem Wiederaufnahmeersuchen am 13. Februar 2023 (Beschwerdeführer) respektive nach Remonstration des SEM vom 14. Februar 2023 am 23. Februar 2023 (Beschwerdeführerin und Kinder) zugestimmt.</w:t>
      </w:r>
    </w:p>
    <w:p>
      <w:r>
        <w:rPr>
          <w:b/>
        </w:rPr>
        <w:t>E. 6.2</w:t>
      </w:r>
    </w:p>
    <w:p>
      <w:r>
        <w:t>Die grundsätzliche Zuständigkeit von Kroatien für die Durchführung des Asyl- und Wegweisungsverfahrens der Beschwerdeführenden ist somit gegeben. In der Beschwerde wird diese denn auch nicht bestritten.</w:t>
      </w:r>
    </w:p>
    <w:p>
      <w:r>
        <w:rPr>
          <w:b/>
        </w:rPr>
        <w:t>E. 7</w:t>
      </w:r>
    </w:p>
    <w:p>
      <w:r>
        <w:t>In der Beschwerde wird im Wesentlichen geltend gemacht, die Beschwerdeführerin und ihre Kinder seien in Kroatien während rund zwanzig Stunden inhaftiert worden und hätten keine Nahrung erhalten. (...) sei kurzzeitig von [den] Eltern getrennt gewesen, als sie an der Grenze zu Slowenien gewesen seien und in ihrer Nähe in die Luft geschossen worden sei. Nachdem sie dort unmenschliche Behandlung erlebt hätten, drohe den Kindern im Falle einer Rücküberstellung nach Kroatien eine Retraumatisierung. Angesichts des dort Erlebten sei mit einer erneuten Verletzung der KRK und weiterer völkerrechtlicher Normen zu rechnen. Sie würden dort wiederum prekäre Bedingungen vorfinden. Ferner sei der Zugang zu medizinischer Versorgung in Kroatien nicht gewährleistet. Mutmasslich drohe ihnen eine Kettenabschiebung, ohne dass ihre Asylgesuche überhaupt geprüft würden.</w:t>
      </w:r>
    </w:p>
    <w:p>
      <w:r>
        <w:rPr>
          <w:b/>
        </w:rPr>
        <w:t>E. 8.1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kommt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Von einer Überstellung ist nur in Ausnahmefällen abzusehen, in welchen die Gesuchstellenden durch substantiierte Vorbringen darlegen können, dass diese generelle Annahme in ihrem Fall nicht zutrifft (vgl. a.a.O. E. 9.5). Selbst unter Berücksichtigung der auf Beschwerdeebene von den Beschwerdeführenden geschilderten Ereignissen während ihres dreitägigen Aufenthaltes in Kroatien ist nicht davon auszugehen, Kroatien verstosse zum heutigen Zeitpunkt systematisch gegen seine vertraglichen Verpflichtungen als zuständiger Dublin-Mitgliedstaat im Falle einer Rücküberstellung von Asylsuchenden. Die geltend gemachte schlechte Behandlung, welche die Beschwerdeführenden in Kroatien erlebt haben, rechtfertigt es nicht, davon auszugehen, dass sie bei einer Rückkehr mit hoher Wahrscheinlichkeit Opfer einer unmenschlichen oder erniedrigenden Behandlung im Sinne von Art. 3 EMRK, Art. 3 FoK oder Art. 4 EU-Grundrechtecharta werden. Es ist auch nicht davon auszugehen, dass sie bei einer Überstellung nach Kroatien in eine existenzielle Notlage geraten könnten. Die geltend gemachten Erlebnisse - insbesondere das in die Luft abgegebene Schiessen in Grenznähe zu Slowenien - scheinen im Zusammenhang zu stehen mit ihrer illegalen Einreise nach Kroatien. Diesbezüglich sieht sich Kroatien schon seit geraumer Zeit mit teils schweren Vorwürfen konfrontiert (vgl. a.a.O. E. 9.1 - 9.4.2 m.w.H.). Es ist nicht ausgeschlossen, dass auch im Landesinnern Mitglieder der Polizei- beziehungsweise Sicherheitskräfte nicht immer ein einwandfreies Verhalten an den Tag legen. Damit ist aber nichts zur vorliegend interessierenden Situation der Rückkehr der Beschwerdeführenden nach Kroatien im Rahmen eines Take Back-Verfahrens gesagt. Bei einer Rücküberstellung nach Kroatien würden die Beschwerdeführenden auf legalem Weg in die Hauptstadt Zagreb überstellt. Im Ergebnis ist davon auszugehen, dass Gesuchstellende, welche gestützt auf die Dublin-III-VO nach Kroatien überstellt würden, Zugang zum dortigen Asylverfahren erhalten,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8.4</w:t>
      </w:r>
    </w:p>
    <w:p>
      <w:r>
        <w:t>Die Anwendung von Art. 3 Abs. 2 Dublin-III-VO ist folglich nicht gerecht-fertigt.</w:t>
      </w:r>
    </w:p>
    <w:p>
      <w:r>
        <w:rPr>
          <w:b/>
        </w:rPr>
        <w:t>E. 9.1</w:t>
      </w:r>
    </w:p>
    <w:p>
      <w:r>
        <w:t>Sodann sind den Akten auch keine Anhaltspunkte zu entnehmen, die eine Ausübung des Selbsteintrittsrechts der Schweiz nach Art. 17 Abs. 1 Satz 1 Dublin-III-VO nahelegen würden.</w:t>
      </w:r>
    </w:p>
    <w:p>
      <w:r>
        <w:rPr>
          <w:b/>
        </w:rPr>
        <w:t>E. 9.1.1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9.1.2</w:t>
      </w:r>
    </w:p>
    <w:p>
      <w:r>
        <w:t>Die Beschwerdeführenden haben kein konkretes und ernsthaftes Risiko dargetan, die kroatischen Behörden würden sich weigern, ihre Anträge auf internationalen Schutz unter Einhaltung der Regeln der Verfahrensrichtlinie zu prüfen.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Kroatien seien derart schlecht, dass sie zu einer Verletzung von Art. 4 der EU-Grundrechtecharta, Art. 3 EMRK, der KRK oder von Art. 3 FoK führen könnten. Sie vermochten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9.2</w:t>
      </w:r>
    </w:p>
    <w:p>
      <w:r>
        <w:t>Die Beschwerdeführenden machen ferner geltend, sowohl das Kindswohl als auch ihr Gesundheitszustand stünden einer Rücküberstellung nach Kroatien entgegen. Eine solche würde zahlreiche Artikel der KRK verletzen. Ferner seien sie aufgrund des im Heimatland als auch in Kroatien Erlebten psychisch angeschlagen. (...) drohe aufgrund des in Kroatien Erlebten im Falle einer Rückkehr dorthin eine Retraumatisierung. Zudem leide (...) an einer OSAS, wobei ein ärztlicher Termin bei einem HNO-Arzt dringend erforderlich sei.</w:t>
      </w:r>
    </w:p>
    <w:p>
      <w:r>
        <w:rPr>
          <w:b/>
        </w:rPr>
        <w:t>E. 9.2.1</w:t>
      </w:r>
    </w:p>
    <w:p>
      <w:r>
        <w:t>Im Zusammenhang mit den Rügen bezüglich der Beachtung des Kindeswohls ist festzuhalten, dass Kroatien Signatarstaat der KRK ist und seinen daraus erwachsenen Verpflichtungen grundsätzlich nachkommt, weshalb eine Überstellung nach Kroatien keine Verletzung von Art. 3 KRK bedeutet. Aus der KRK kann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 Eltern aufwachsen zu können, soweit es ihrem Wohle nicht schadet. Die minderjährigen Kinder der Beschwerdeführenden werden zusammen mit ihren Eltern nach Kroatien überstellt und den Akten sind keine Hinweise darauf zu entnehmen, dass sie dort von ihren Eltern getrennt werden könnten. Angesichts der relativ kurzen Aufenthaltsdauer in der Schweiz können sie zudem nicht als hier verwurzelt gelten. Hinweise auf unverzüglich behandlungsbedürftige, schwere gesundheitliche Probleme der Kinder liegen nicht vor, sodass ein Vollzug der Überstellung nicht gegen das Kindeswohl spricht. Die Beschwerdeführenden können aus dem Umstand, dass es Verfahren vor dem CRC gibt, in denen der Aufschub der Überstellung nach Kroatien beschlossen worden ist, sodann nichts zu ihren Gunsten ableiten, zumal diese Verfahren noch hängig sind.</w:t>
      </w:r>
    </w:p>
    <w:p>
      <w:r>
        <w:rPr>
          <w:b/>
        </w:rPr>
        <w:t>E. 9.2.2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das Urteil des EGMR Paposhvili gegen Belgien 13. Dezember 2016, Grosse Kammer 41738/10, §§ 180-193 m.w.H.). Eine solche Situation ist vorliegend nicht gegeben. Beim Beschwerdeführer wurden Stress, Gelenk- und Muskelschmerzen, Probleme beim Einschlafen, Albträume und Angst, Augenprobleme sowie ein seit Jahren bestehendes Hämorrhoidenleiden diagnostiziert, weshalb er verschiedentlich ärztlich behandelt wurde und Medikamente erhält. In Griechenland sei bei ihm von einer Posttraumatischen Belastungsstörung (PTBS) ausgegangen. Die Beschwerdeführerin war wegen Unterbauchschmerzen, welche sie seit einer Vergewaltigung in Kongo (Kinshasa) habe, mehrmals in ärztlicher Behandlung und wurde umfangreich und wiederholt gynäkologisch untersucht. Bei (...) besteht gemäss den medizinischen Unterlagen der Verdacht auf eine OSAS, eine Adenoidhyperplasie sowie ein avenischer Paukenerguss. Es wurde ein Termin bei einem HNO-Spezialisten empfohlen, der auf August 2023 angesetzt wurde. (...) wurde wegen eines auffällige Visustests ein Termin beim Augenarzt empfohlen. Das Bundesverwaltungsgericht verkennt nicht, dass sich die Beschwerdeführenden gesamthaft gesehen nicht in einer einfachen Situation befinden. Ihre gesundheitlichen Probleme sind jedoch nicht von einer derartigen Schwere, dass aus völkerrechtlichen Gründen von einer Überstellung abgesehen werden müsste. Insbesondere die dokumentierten medizinischen Probleme bei (...), welche noch weiterer Abklärungen bedürfen, sind ohne Weiteres auch in Kroatien behandelbar, zumal hinsichtlich der für August 2023 vorgesehenen Untersuchung nicht von einer derartigen Dringlichkeit auszugehen ist, dass sie in der Schweiz abgewartet werden muss. Dasselbe gilt für die weiteren medizinischen, teils noch nicht stattgefundenen Abklärungen, wie ein Termin (...) beim Augenarzt. Hierzu kann auf die Ausführungen der Vorinstanz verwiesen werden, in denen auch festgestellt worden ist, dass die Beschwerdeführenden wegen psychischen Problemen bisher nicht bei der Pflegestelle vorgesprochen hätten. Sollten sich weitere medizinische Abklärungen, medikamentöse oder therapeutische Behandlungen als notwendig erweisen, so steht in Kroatien grundsätzlich eine ausreichende medizinische Infrastruktur zur Verfügung (vgl. statt vieler das Urteil des BVGer E-474/2023 vom 16. Mai 2023 E. 6.2.4).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das Urteil des BVGer E-474/2023 vom 16. Mai 2023 E. 6.2.4). Es liegen keine Hinweise vor, wonach Kroatien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 Gleichzeitig ist ihnen mitzuteilen, dass eine kindsgerechte Unterbringung benötigt wird.</w:t>
      </w:r>
    </w:p>
    <w:p>
      <w:r>
        <w:rPr>
          <w:b/>
        </w:rPr>
        <w:t>E. 9.3.1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oder ein Über- respektive Unterschreiten des Ermessens zu entnehmen.</w:t>
      </w:r>
    </w:p>
    <w:p>
      <w:r>
        <w:rPr>
          <w:b/>
        </w:rPr>
        <w:t>E. 9.3.2</w:t>
      </w:r>
    </w:p>
    <w:p>
      <w:r>
        <w:t>Das Gericht enthält sich unter diesen Umständen weiterer Äusserungen zur Frage eines Selbsteintritts aus humanitären Gründen.</w:t>
      </w:r>
    </w:p>
    <w:p>
      <w:r>
        <w:rPr>
          <w:b/>
        </w:rPr>
        <w:t>E. 10</w:t>
      </w:r>
    </w:p>
    <w:p>
      <w:r>
        <w:t>Die Vorinstanz ist angesichts der vorstehenden Erwägungen zu Recht auf die Asylgesuche der Beschwerdeführenden nicht eingetreten und hat ihre Überstellung nach Kroatien verfügt (vgl. Art. 31a Abs. 1 Bst. b und Art. 44 AsylG).</w:t>
      </w:r>
    </w:p>
    <w:p>
      <w:r>
        <w:rPr>
          <w:b/>
        </w:rPr>
        <w:t>E. 11</w:t>
      </w:r>
    </w:p>
    <w:p>
      <w:r>
        <w:t>Nach dem Gesagten ist die Beschwerde abzuweisen und die Verfügung des SEM zu bestätigen.</w:t>
      </w:r>
    </w:p>
    <w:p>
      <w:r>
        <w:rPr>
          <w:b/>
        </w:rPr>
        <w:t>E. 12.1</w:t>
      </w:r>
    </w:p>
    <w:p>
      <w:r>
        <w:t>Mit dem Entscheid in der Hauptsache sind die Gesuche um Erteilung der aufschiebenden Wirkung und um Verzicht auf die Erhebung eines Kostenvorschusses gegenstandslos geworden.</w:t>
      </w:r>
    </w:p>
    <w:p>
      <w:r>
        <w:rPr>
          <w:b/>
        </w:rPr>
        <w:t>E. 12.2</w:t>
      </w:r>
    </w:p>
    <w:p>
      <w:r>
        <w:t>Die Begehren erweisen sich als aussichtslos, weshalb das Gesuch um Gewährung der unentgeltlichen Prozessführung ungeachtet einer allfälligen prozessualen Bedürftigkeit abzuweisen ist (Art. 65 Abs. 1 VwVG).</w:t>
      </w:r>
    </w:p>
    <w:p>
      <w:r>
        <w:rPr>
          <w:b/>
        </w:rPr>
        <w:t>E. 12.3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