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E-3599/2011 vom 7. Februar 2012</w:t>
      </w:r>
    </w:p>
    <w:p>
      <w:r>
        <w:t>Bundesverwaltungsgericht, 2012-02-07, DE</w:t>
      </w:r>
    </w:p>
    <w:p>
      <w:r>
        <w:rPr>
          <w:b/>
        </w:rPr>
        <w:t xml:space="preserve">Quelle: </w:t>
      </w:r>
      <w:r>
        <w:t>https://mcp.opencaselaw.ch/entscheid/bvger_E-3599_2011</w:t>
      </w:r>
    </w:p>
    <w:p>
      <w:r>
        <w:t>FR: TAF E-3599/2011 du 7 février 2012</w:t>
      </w:r>
    </w:p>
    <w:p>
      <w:r>
        <w:t>IT: TAF E-3599/2011 del 7 febbraio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ihres ablehnenden Entscheides aus, aufgrund verschiedener widersprüchlicher Aussagen bestünden grundlegende Zweifel an der persönlichen Glaubwürdigkeit des Beschwerdeführers und an dessen vormaliger Tätigkeit in Pilkhana. So habe er vorgebracht, die Behörden seines Heimatlandes wüssten nicht, dass er sich in der Schweiz befinde, obwohl er im Rahmen seines Ehevorbereitungsverfahrens bei der Vertretung Bangladeschs einen Reisepass beantragt habe, der ihm am (...) auch ausgestellt worden sei. Dieses Vorgehen widerspreche auch der Behauptung, er könne sich in seiner Heimat nicht um Identitätspapiere bemühen, da er dadurch riskiere, die Aufmerksamkeit der Behörden auf sich zu lenken. Vor dem Hintergrund, dass das Fernsehen von Beginn weg ausführlich über den Aufstand vom 25. und 26. Februar 2009 in Pilkhana berichtet habe, sei zudem auch das Vorbringen falsch, er habe zum damaligen Zeitpunkt via Fernsehen nichts über die Vorfälle in Erfahrung bringen können. Ebenso sei die Aussage unglaubwürdig, er habe beim Verlassen des Gate Nr. 4 infolge angeblicher Dunkelheit nicht erkennen können, wer oder was draussen gewesen sei, und dies obwohl gemäss der ausführlichen Berichterstattung über die Vorfälle der Kontakt zu den Aufständischen hauptsächlich über Gate Nr. 4 abgewickelt worden und folglich am besten kontrolliert und auch beleuchtet gewesen sei. Schliesslich sei die Aussage des Beschwerdeführers, "BDR" bedeute "Bangladesh Border Guard" falsch. Die Vorbringen des Beschwerdeführers widersprächen im Übrigen auch der allgemeinen Erfahrung oder der Logik des Handelns. So hätten die Behörden des Heimatlandes dem Beschwerdeführer im Rahmen der Ehevorbereitungen ein "(...)" mit tadellosem Leumund ausgestellt, was sie bei einer Person, die im Zusammenhang mit dem Aufstand vom 25. und 26. Februar 2009 gesucht wird, wohl nicht getan hätten. Dasselbe gelte für die Ausstellung des Reisepasses. Nicht nachvollziehbar wäre im Falle einer Verfolgung durch die Behörden des Heimatlandes weiter, dass der Beschwerdeführer nach der Meuterei noch 1 Jahr und 7 Monate in Bangladesch geblieben sei. Selbst nach der Ermordung des D._____ habe er noch 17 Monate in Bangladesch verbracht. Er wisse zudem nicht, ob überhaupt ein Verfahren gegen ihn eröffnet worden sei. Insgesamt hielten die Vorbringen den Anforderungen an die Glaubwürdigkeit gemäss Art. 7 AsylG nicht stand, so dass ihre Asylrelevanz nicht geprüft werden müsse. Demzufolge erfülle der Beschwerdeführer die Flüchtlingseigenschaft nicht, so dass das Asylgesuch abzulehnen sei. Die Folge der Ablehnung eines Asylgesuches sei gemäss Art. 44 Abs. 1 AsylG in die Regel die Wegweisung aus der Schweiz. Da der Beschwerdeführer die Flüchtlingseigenschaft nicht erfülle, könne auch der Grundsatz der Nichtrückschiebung gemäss Art. 5 Abs. 1 AsylG nicht angewendet werden. Ferner würden sich aus den Akten keine Anhaltspunkte dafür ergeben, ihm drohe im Falle einer Rückkehr in den Heimatstaat mit beachtlicher Wahrscheinlichkeit eine durch Art. 3 der Konvention zum Schutze der Menschenrechte und Grundfreiheiten vom 4. November 1950 (EMRK, SR 0.101) verbotene Strafe oder Behandlung. Weder die im Heimatstaat herrschende politische Situation noch andere Gründe würden gegen die Zumutbarkeit des Wegweisungsvollzugs sprechen. Ausserdem sei dieser technisch möglich und praktisch durchführbar.</w:t>
      </w:r>
    </w:p>
    <w:p>
      <w:r>
        <w:rPr>
          <w:b/>
        </w:rPr>
        <w:t>E. 4.2</w:t>
      </w:r>
    </w:p>
    <w:p>
      <w:r>
        <w:t>In der Beschwerde wird der Argumentation der Vorinstanz entgegengehalten, es bestehe seitens der Regierung ein Generalverdacht gegenüber allen, welche zur Zeit des Aufruhrs in Pilkhana anwesend gewesen seien. Die Regierung sei aufgrund der zahlreichen Inhaftierungen und massiven Menschenrechtsverletzungen gezwungen gewesen, eine unabhängige Untersuchungskommission einzusetzen, wobei die Rechtsstaatlichkeit der Verfahren gemäss Informationen von Menschenrechtsorganisationen äusserst zweifelhaft sei und viele Geständnisse nur durch Folterungen zu Stande kämen. Der Entschluss, sein Heimatland zu verlassen, habe der Beschwerdeführer gefasst, als er erfahren habe, dass ein ehemaliger Arbeitskollege, welcher mit ihm zusammen in Pilkhana gearbeitet hatte, verhaftet, gefoltert und schlussendlich getötet worden sei. Die Vorinstanz habe ihren Entscheid nur auf die zwei Befragungen gestützt, wobei sie detektivisch nach Widersprüchen in den Aussagen gesucht habe, anstatt den Sachverhalt von Amtes wegen abzuklären. Sie habe ihre Begründungspflicht verletzt, indem sie sich auf gesicherte Erkenntnisse stütze, es jedoch unterlassen habe, diese darzulegen. Damit sei es dem Beschwerdeführer verwehrt, diese angeblich gesicherten Erkenntnisse konkret in Frage stellen zu können. So behaupte das BFM, das Fernsehen habe von allem Anfang an und äusserst ausführlich über den Aufstand berichtet, unterlasse es jedoch, aufzuzeigen, worauf es diese Information stütze. Gleiches gelte hinsichtlich der Behauptung, der Kontakt zu den Aufständischen sei hauptsächlich über Gate Nr. 4 abgewickelt worden, folglich sei es nicht möglich gewesen, das Hauptquartier durch dieses Gate zu verlassen. Entgegen der Auffassung des Bundesamtes habe der Beschwerdeführer nie behauptet, das Hauptquartier durch Gate Nr. 4, welches in der Tat von den Sicherheitskräften vollständig kontrolliert gewesen sei, verlassen zu haben. Immerhin habe die Vorinstanz nicht in Abrede gestellt, dass der Beschwerdeführer sich während des blutigen Aufstandes tatsächlich im Hauptquartier der "BDR" aufgehalten habe. Aus dem Umstand, dass es der Beschwerdeführer gewagt habe, sich zwecks Besorgung verschiedener Dokumente an die diplomatische Vertretung seines Heimatlandes in der Schweiz zu wenden, könne nichts zu seinen Ungunsten abgeleitet werden. Es sei für ihn nicht ersichtlich gewesen, dass es sich bei der Botschaft um ausländisches Territorium handle. Der Beschwerdeführer habe das Land nicht umgehend verlassen, weil er sich zuerst um eine Inlandfluchtalternative bemüht habe. Sein Schutzbedürfnis sei durch die Aufenthalte bei (...), bei C._____ und bei B._____ belegt. Entgegen der Meinung der Vorinstanz seien die Vorbringen somit glaubhaft, und es sei ihm in der Schweiz Asyl zu gewähren. Selbst wenn dieses Fazit in Abrede gestellt würde, dränge sich eine vorläufige Aufnahme auf, da eine Rückweisung des Beschwerdeführers infolge des Verdachts der Regierung auf aktive Beteiligung am Aufstand vom 25. Und 26. Februar 2009 unweigerlich zu dessen unrechtmässigen Festnahme und Folterung führen würde. Ein Vollzug der Wegweisung sei demzufolge nicht zumutbar.</w:t>
      </w:r>
    </w:p>
    <w:p>
      <w:r>
        <w:rPr>
          <w:b/>
        </w:rPr>
        <w:t>E. 5.1</w:t>
      </w:r>
    </w:p>
    <w:p>
      <w:r>
        <w:t>Das Bundesverwaltungsgericht kommt nach Prüfung der Akten zum Schluss, dass die Vorinstanz gesetzes- und praxiskonform erkannt hat, die geltend gemachten Benachteiligungen und Befürchtungen genügten den Anforderungen an das Glaubhaftmachen eines asylbegründenden Sachverhalts nicht und sie seien flüchtlingsrechtlich unbeachtlich. Zwar ist eine gewisse Spitzfindigkeit in der Argumentation des BFM auszumachen und es fehlen, wie in der Beschwerde gerügt, vereinzelt tatsächlich nähere Angaben zu den Quellen. Diesbezüglich ist allerdings festzuhalten, dass nur schon ein Blick in das Internet zeigt, dass über das Geschehen sehr einlässlich und von verschiedenster Seite berichtet worden ist, weshalb es sich erübrigt, näher auf diese Rüge einzugehen. Und auch die kursorische Kritik, das Bundesamt habe "detektivisch nach Widersprüchen in den Aussagen" gesucht und verletze die Begründungspflicht (vgl. Beschwerde Ziff. II 9. Und 10. S. 5), wird vom Gericht nicht geteilt und kann vor dem Hintergrund der nachstehenden Erwägungen am Fazit der Vorinstanz nichts ändern.</w:t>
      </w:r>
    </w:p>
    <w:p>
      <w:r>
        <w:rPr>
          <w:b/>
        </w:rPr>
        <w:t>E. 5.2</w:t>
      </w:r>
    </w:p>
    <w:p>
      <w:r>
        <w:t>Vorweg ist festzustellen, dass der Beschwerdeführer bei den "BDR" eine absolut untergeordnete Teilzeitstelle hatte (vgl. Anhörungsprotokoll A22/18 F35 ff.) und denn auch weder im vorinstanzlichen Verfahren noch auf Beschwerdestufe geltend gemacht wird, er habe beim Aufruhr aktiv mitgewirkt oder gar eine wichtige Aufgaben übernommen. Gegenteils gab er anlässlich der Befragung an: "Wir haben uns in den Wohnräumen versteckt gehalten." (vgl. Protokoll A1/13 S. 6). An dieser Einschätzung kann auch die Behauptung in der Beschwerde nichts ändern, seitens der Regierung bestehe ein Generalverdacht gegen alle, die zum massgeblichen Zeitpunkt im Hauptquartier anwesend gewesen seien (vgl. Beschwerde Ziff. II. 2. S. 3 f.).</w:t>
      </w:r>
    </w:p>
    <w:p>
      <w:r>
        <w:rPr>
          <w:b/>
        </w:rPr>
        <w:t>E. 5.3</w:t>
      </w:r>
    </w:p>
    <w:p>
      <w:r>
        <w:t>Sodann fällt auf, dass die zentralen Vorbringen des Beschwerdeführers durch nichts belegt sind. Weder hat er Dokumente zu seiner Inhaftierung noch zum Tode des D._____ eingereicht, und seine diesbezügliche Bekräftigung anlässlich der Anhörung: "Ich würde sie nicht anlügen und sagen, D._____ sei gestorben. Er ist wirklich gestorben. Das ist die Wahrheit." (vgl. Protokoll A22/18 F103 S. 11) ist unbehelflich. Was immer zum Aufruhr vorgebracht wird, kann auch den Medien entnommen oder anderweitig in Erfahrung gebracht worden sein. Ob und in welcher Weise der Beschwerdeführer den Aufruhr vom Februar 2009 miterlebt, ist offen, und die Vorbringen machen den Eindruck eines Konstrukts.</w:t>
      </w:r>
    </w:p>
    <w:p>
      <w:r>
        <w:rPr>
          <w:b/>
        </w:rPr>
        <w:t>E. 5.4</w:t>
      </w:r>
    </w:p>
    <w:p>
      <w:r>
        <w:t>Weiter weist die Vorinstanz zu Rechts auf den Umstand hin, dass der Beschwerdeführer nach dem Vorfall noch ein Jahr und vier Monate in Bangladesch geblieben ist; erfahrungsgemäss verlassen tatsächlich Verfolgte das Land möglichst schnell. Die Begründung in der Beschwerde, er habe zuerst nach landesinternen Aufenthaltsalternativen gesucht und sich erst zur Ausreise entschlossen, nachdem er vernommen habe, dass ein (...) verhaftet, gefoltert und schliesslich getötet worden sei (vgl. Beschwerde Ziff. II 4. S. 4) ist ebenfalls durch nichts belegt und verstärkt die Zweifel des Gerichts am Vorbringen. Wenn tatsächlich eine dermassen schwere und konkrete Bedrohung bestanden hätte, wäre der Beschwerdeführer wohl schon sehr viel früher ausgereist.</w:t>
      </w:r>
    </w:p>
    <w:p>
      <w:r>
        <w:rPr>
          <w:b/>
        </w:rPr>
        <w:t>E. 5.5</w:t>
      </w:r>
    </w:p>
    <w:p>
      <w:r>
        <w:t>Unverständlich ist schliesslich, dass sich der Beschwerdeführer an die diplomatische Vertretung seines Landes in der Schweiz gewendet hat, musste er doch damit rechnen, identifiziert zu werden. Seine Ausführungen dazu sind unlogisch und ohne jede Überzeugungskraft (vgl. Anhörungsprotokoll A22/18 F128). Fakt ist, dass er problemlos von dem ihn angeblich verfolgenden Heimatstaat einen Pass ausgestellt erhielt, und es ist mit dem BFM einigzugehen, dass einer Person, welche im Zusammenhang mit dem Aufstand von 2009 gesucht wird, "... weder ein "(...)" - in welchem ihm vom (...) sogar ein tadelloser Leumund garantiert wird - , noch eine Ledigkeitsbescheinigung ausgestellt wird." (vgl. vorinstanzlicher Entscheid Ziff. I 2.a S. 4). Die in der Beschwerde dazu abgegebene Erklärung, er habe nicht gewusst, "dass es sich bei einer Botschaft um ausländisches Territorium" handle, zielt an der Schlüsselfrage vorbei: Wie konnte der Beschwerdeführer das Risiko eingehen, zumindest seinen aktuellen Aufenthaltsort gegenüber dem angeblichen Verfolgerstaat publik zu machen, wenn nicht die Vermutung überwiegt, es liege gegen ihn gar nichts vor und er habe aufgrund der Kontaktnahme keinerlei Nachteile zu erwarten.</w:t>
      </w:r>
    </w:p>
    <w:p>
      <w:r>
        <w:rPr>
          <w:b/>
        </w:rPr>
        <w:t>E. 5.6</w:t>
      </w:r>
    </w:p>
    <w:p>
      <w:r>
        <w:t>Aufgrund vorstehender Erwägungen erübrigt sich eine Auseinandersetzung mit weiteren Ausführungen auf Beschwerdeebene, weil sie am Ergebnis nichts ändern können.</w:t>
      </w:r>
    </w:p>
    <w:p>
      <w:r>
        <w:rPr>
          <w:b/>
        </w:rPr>
        <w:t>E. 5.7</w:t>
      </w:r>
    </w:p>
    <w:p>
      <w:r>
        <w:t>Zusammenfassend folgt, dass es dem Beschwerdeführer nicht gelungen ist, nachzuweisen oder glaubhaft zu machen, dass er in Bangladesch begründete Furcht vor ernsthaften Nachteilen im Sinne von Art. 3 Abs. 2 AsylG haben muss. Die diesbezüglichen Erwägungen der Vorinstanz sind entgegen den Beschwerdevorbringen im Ergebnis nicht zu beanstanden. Die Vorinstanz hat das Asylgesuch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hat er einen Anspruch auf Erteilung einer solchen geltend gemacht. So hat er es nach der Aktenlage insbesondere bisher unterlassen, aufgrund der eingetragenen Partnerschaft bei der dafür zuständigen Migrationsbehörde einen Antrag auf Erteilung einer Aufenthaltsbewilligugn einzureichen (vgl. EMARK 2011 Nr. 21). Die Wegweisung wurde demnach zu Recht angeordnet (Art. 44 Abs. 1 AsylG; BVGE 2009/50 E. 9 S. 737).</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der vormaligen Schweizerischen Asylrekurskommission (ARK)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seinen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Angesichts der heutigen Lage in Bangladesch kann nicht von einer Situation allgemeiner Gewalt oder von kriegerischen oder bürgerkriegsähnlichen Verhältnissen gesprochen werden, welche für den Beschwerdeführer bei einer Rückkehr eine konkrete Gefährdung darstellen würden (vgl. BVGE 2010/8 E.9.5). Der Vollzug der Wegweisung des Beschwerdeführers nach Bangladesch ist als zumutbar im Sinne von Art. 83 Abs. 4 AuG zu erachten, da der Beschwerdeführer nicht darzutun vermochte, dass er bei einer Rückkehr in sein Heimatland einer konkreten Gefährdungssituation im Sinne der zu beachtenden Bestimmung ausgesetzt wäre. In den Akten finden sich auch keine konkreten Anhaltspunkte dafür, dass er aus individuellen Gründen wirtschaftlicher, sozialer oder gesundheitlicher Natur in eine existenzbedrohende Situation geraten würde. Gemäss Aktenlage verfügt der Beschwerdeführer in seinem Heimatland über ein familiäres (...) und wohl auch bekanntschaftliches Beziehungsnetz. Es sind zudem keine persönlichen Gründe ersichtlich, die gegen die Rückführung des gemäss Aktenlage gesunden und schulisch gut gebildeten Beschwerdeführers nach Bangladesch sprechen. Nach dem Gesagten erweist sich der Vollzug der Wegweisung auch als zumutbar. Daran ändert auch die Eintragung einer Partnerschaft nichts, hat doch der Beschwerdeführer gemäss den Akten zu keinem Zeitpunkt daraus einen Anspruch auf eine Aufenthaltsbewilligung abgeleitet oder sogar eine solche förmlich beantragt.</w:t>
      </w:r>
    </w:p>
    <w:p>
      <w:r>
        <w:rPr>
          <w:b/>
        </w:rPr>
        <w:t>E. 7.5</w:t>
      </w:r>
    </w:p>
    <w:p>
      <w:r>
        <w:t>Schliesslich ist der Beschwerdeführer im Besitz eines gültigen Reisepasses, welcher ihm am (...) in der bangladeschischen Vertretung in Genf ausgestellt wurde. Es obliegt ihm, sich bei der Vertretung von Bangladesch die allenfalls für eine Rückkehr zusätzlich benötigten Reisedokumente zu beschaffen (vgl. Art. 8 Abs. 4 AsylG und dazu auch BVGE 2008/34 E. 12 S. 513 - 515). Der Vollzug der Wegweisung erweist sich daher auch als möglich (Art. 83 Abs. 2 AuG).</w:t>
      </w:r>
    </w:p>
    <w:p>
      <w:r>
        <w:rPr>
          <w:b/>
        </w:rPr>
        <w:t>E. 7.6</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sowie angemessen ist (Art. 106 AsylG). Die Beschwerde ist nach dem Gesagten abzuweisen.</w:t>
      </w:r>
    </w:p>
    <w:p>
      <w:r>
        <w:rPr>
          <w:b/>
        </w:rPr>
        <w:t>E. 9</w:t>
      </w:r>
    </w:p>
    <w:p>
      <w:r>
        <w:t>Bei diesem Ausgang des Verfahrens wären die Kosten dem Beschwer-deführer aufzuerlegen (Art. 63 Abs. 1 VwVG). Nachdem aber aufgrund der Aktenlage von der unveränderten Bedürftigkeit des Beschwerdeführers auszugehen ist und die Beschwerde nicht als aussichtslos bezeichnet werden konnte, ist in Gutheissung des sinngemässen Gesuchs um Gewährung der unentgeltlichen Rechtspflege von einer Kostenauflage abzusehen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