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E-3590/2020 vom 24. August 2020</w:t>
      </w:r>
    </w:p>
    <w:p>
      <w:r>
        <w:t>Bundesverwaltungsgericht, 2020-08-24, DE</w:t>
      </w:r>
    </w:p>
    <w:p>
      <w:r>
        <w:rPr>
          <w:b/>
        </w:rPr>
        <w:t xml:space="preserve">Quelle: </w:t>
      </w:r>
      <w:r>
        <w:t>https://mcp.opencaselaw.ch/entscheid/bvger_E-3590_2020</w:t>
      </w:r>
    </w:p>
    <w:p>
      <w:r>
        <w:t>FR: TAF E-3590/2020 du 24 août 2020</w:t>
      </w:r>
    </w:p>
    <w:p>
      <w:r>
        <w:t>IT: TAF E-3590/2020 del 24 agosto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rügt eine Verletzung des rechtlichen Gehörs gemäss Art. 29 VwVG. Wegen des Corona-Virus habe er keine Möglichkeit gehabt, Arztberichte einzureichen. Dem ist entgegenzuhalten, dass sich der Beschwerdeführer seit rund drei Jahren in der Schweiz aufhält und ihm seine Mitwirkungspflicht nach Art. 8 AsylG bereits aus dem vorherigen Asylverfahren bekannt ist, welches mit Urteil E-4526/2019 vom 30. September 2019 rechtskräftig abgeschlossen wurde. Er hätte mithin seither und insbesondere nach der Einreichung seines Gesuchs am 3. November 2019 und damit vor der Corona-Krise und dem Erlass der einschränkenden Massnahmen des Bundesrates Mitte März 2020 ausreichend Zeit gehabt, sich um Arztberichte zu bemühen. Die Rüge ist unbegründet.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w:t>
      </w:r>
    </w:p>
    <w:p>
      <w:r>
        <w:t>Die Vorinstanz gelangt in der angefochtenen Verfügung zum Schluss, die Vorbringen des Beschwerdeführers seien nicht asylrelevant. Den eingereichten Unterlagen könne entnommen werden, dass der Beschwerdeführer sich wegen der Probleme mit dem (...) an die Behörden habe wenden können. Entgegen seiner Angabe, er sei angezeigt worden, werde aus den Dokumenten ersichtlich, dass er nicht als Angeklagter, sondern als Kläger aufgeführt sei. Zwar liege kein Urteil vor, aber angesichts der mehrmaligen Betonung des Beschwerdeführers im vorherigen Verfahren, er sei in der Türkei nicht verfolgt worden, sei nicht davon auszugehen, er sei deswegen einer Verfolgung ausgesetzt gewesen. Vielmehr habe er in seinem Heimatland Schutz vor Verfolgung seitens Dritter gefunden. Was die bereits im vorangegangen Verfahren beurteilten Vorbringen bezüglich der Facebook-Beiträge sowie der (...)probleme in der Schweiz betreffe, habe er keine neuen Elemente geltend gemacht, welche Anlass dazu geben würden, diese nochmals zu prüfen.</w:t>
      </w:r>
    </w:p>
    <w:p>
      <w:r>
        <w:rPr>
          <w:b/>
        </w:rPr>
        <w:t>E. 7.1</w:t>
      </w:r>
    </w:p>
    <w:p>
      <w:r>
        <w:t>In der Rechtsmitteleingabe macht der Beschwerdeführer sinngemäss geltend, die Vorinstanz habe sein Mehrfachgesuch zu Unrecht abgewiesen. In der Begründung beschränkt er sich allerdings lediglich darauf, den aktenkundigen Sachverhalt aus dem vorliegenden sowie jenen aus dem mit Urteil E-4526/2019 vom 30. September 2019 abgeschlossenen Verfahren zu wiederholen. Auf die bereits rechtskräftig beurteilten Vorbringen, namentlich die Schwierigkeiten mit (...) in der Schweiz, ist vorliegend nicht mehr einzugehen. Was die Probleme mit dem (...), einer Privatperson, betrifft, legt er nicht dar, weshalb die Vorinstanz diese zu Unrecht als nicht asylrelevant beurteilt hat. Mit der Vorinstanz ist diesbezüglich festzustellen, dass der Beschwerdeführer sich aufgrund dieses Problems an die türkischen Justizbehörden hat wenden können. Darüber hinaus fehlt es diesem Vorbringen an einem asylrechtlich relevanten Motiv gemäss Art. 3 AsylG. Laut den Angaben des Beschwerdeführers ging es um Angelegenheiten betreffend die (...). Entgegen der Ansicht des Beschwerdeführers bestehen keine Anzeichen dafür, dass er bei einer Rückkehr in die Türkei Verfolgungsmassnahmen im Sinne von Art. 3 AsylG ausgesetzt wäre. Wie er selbst im vorangehenden Asylverfahren angab, hatte er zum Zeitpunkt der Ausreise im September 2017 keine Probleme mit den türkischen Behörden (vgl. SEM-Akte B20/16 F53 ff., F79). Im Übrigen kann auf die vorinstanzliche Verfügung verwiesen werden.</w:t>
      </w:r>
    </w:p>
    <w:p>
      <w:r>
        <w:rPr>
          <w:b/>
        </w:rPr>
        <w:t>E. 7.2</w:t>
      </w:r>
    </w:p>
    <w:p>
      <w:r>
        <w:t>Zusammenfassend hat die Vorinstanz zu Recht das Vorliegen der Flüchtlingseigenschaft verneint und das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Beschwerdeführer macht geltend, seine psychischen Probleme stünden dem Vollzug der Wegweisung entgegen.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Trotz der ihm obliegenden und bekannten Mitwirkungspflicht nach Art. 8 AsylG hat es der Beschwerdeführer seit der Ankunft in der Schweiz im September 2017 unterlassen, sich um die Einreichung von Arztberichten zu bemühen. Im Rahmen des vorherigen Asylverfahrens hat er keine psychischen Probleme erwähnt. Zudem reichte er das vorliegende Mehrfachgesuch am 3. November 2019 ein, mithin hätte er ab diesem Zeitpunkt und somit noch vor Ausbruch der Corona-Pandemie und den einschränkenden Massnahmen des Bundesrates Mitte März 2020 zur Eindämmung der selbigen ausreichend Zeit dafür gehabt. Darüber hinaus sind seit den ersten Lockerungsmassnahmen Ende April 2020 wiederum rund vier Monate vergangen, die er ungenutzt hat verstreichen lassen (vgl. https://www.srf.ch/news/schweiz/alle-schritte-aus-dem-lockdown-so-sieht-der-fahrplan-des-bundesrates-aus, abgerufen am 31.07.2020). Das Vorbringen, er bemühe sich um einen Termin beim Ambulatorium für Folter- und Kriegsopfer, ist sodann unbelegt. Der Beschwerdeführer reichte einzig einen kurzen ärztlichen Bericht vom 12. Februar 2020 ein, in welchem eine depressive Störung (ICD-10 F33.11) festgehalten sowie der Verdacht auf eine Posttraumatische Belastungsstörung (PTBS; ICD-10 F43.1) und eine andauernde Persönlichkeitsveränderung nach Extrembelastungen (ICD-10 F62.0) geäussert werden. Gemäss Praxis des Bundesverwaltungsgerichts ist davon auszugehen, dass der Beschwerdeführer seine (möglichen) psychischen Erkrankungen in der Türkei behandeln lassen kann (vgl. u.a. Urteile des BVGer E-64/2020 vom 22. Januar 2020 E. 6.3.4, E-6542/2017 vom 11. November 2019 E. 5.5 und E. 11.2.2). Den Akten sowie dem eingereichten ärztlichen Attest lassen sich keine Hinweise dafür entnehmen, dass der Beschwerdeführer bei einer Rückkehr in die Türkei in eine medizinische Notlage im Sinne der vorstehend dargelegten Rechtsprechung geraten würde. Schliesslich steht es dem Beschwerdeführer offen, medizinische Rückkehrhilfe in Anspruch zu nehmen (vgl. Art. 75 Abs. 3 der Asylverordnung 2 vom 11. August 1999 [AsylV 2, SR 142.312]).</w:t>
      </w:r>
    </w:p>
    <w:p>
      <w:r>
        <w:rPr>
          <w:b/>
        </w:rPr>
        <w:t>E. 9.4.2</w:t>
      </w:r>
    </w:p>
    <w:p>
      <w:r>
        <w:t>Weitere in der Person des Beschwerdeführers liegenden Gründe, die den Vollzug der Wegweisung unzumutbar erscheinen liessen, sind vorliegend zu verneinen. Das Gericht hat sich bereits im Rahmen des vorherigen Asylverfahrens mit der Frage der Zumutbarkeit des Wegweisungsvollzugs auseinandergesetzt und diese im Urteil E-4526/2019 vom 30. September 2019 bejaht, mithin vor knapp einem Jahr. Vorliegend macht der Beschwerdeführer nichts geltend, das eine andere Betrachtungsweise aufdrängen würde. Das unsubstantiierte Vorbringen, er habe sich nach der Rückkehr in die Türkei im Jahr 2009 nicht ins soziale und wirtschaftliche Leben integrieren können und er habe dort nur zwei Schwestern, mit denen er nicht häufig in Kontakt stehe, ist nicht stichhaltig. So gab er anlässlich der Anhörung vom 30. April 2019 an, die Familie stehe sich nahe und er habe eine Freundin, mit der er täglich mehrmals Kontakt habe (vgl. SEM-Akte B20/16 F7 f.). Weiter führte er aus, nach der Rückkehr bis zur erneuten Ausreise habe er mit seiner Freundin in B._______ gelebt (vgl. a.a.O. F27 ff.). Im Übrigen kann auf die angefochtene Verfügung verwiesen werden. Nach dem Gesagten erweist sich der Vollzug der Wegweisung als zumutbar.</w:t>
      </w:r>
    </w:p>
    <w:p>
      <w:r>
        <w:rPr>
          <w:b/>
        </w:rPr>
        <w:t>E. 9.5</w:t>
      </w:r>
    </w:p>
    <w:p>
      <w:r>
        <w:t>Der Beschwerdeführer verfügt über eine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9.6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der Türkei angepasst wird (vgl. Urteil des BVGer D-4796/2019 vom 27. April 2020 E. 8.9 m.w.H sowie Entscheidungen und Mitteilungen der Schweizerischen Asylrekurskommission 1995 Nr. 14 E. 8d und e).</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gemäss Art. 65 Abs. 1 VwVG und unentgeltlichen Verbeiständung gemäss Art. 65 Abs. 2 VwVG. Aufgrund der vorstehenden Erwägungen ergibt sich, dass seine Begehren als aussichtslos zu gelten haben. Damit ist eine der kumulativ zu erfüllenden Voraussetzungen nicht gegeben, weshalb den Gesuchen nicht stattzugeben ist.</w:t>
      </w:r>
    </w:p>
    <w:p>
      <w:r>
        <w:rPr>
          <w:b/>
        </w:rPr>
        <w:t>E. 11.2</w:t>
      </w:r>
    </w:p>
    <w:p>
      <w:r>
        <w:t>Bei diesem Ausgang des Verfahrens hat der Beschwerdeführer die Kosten des vorliegenden Verfahrens zu tragen (Art. 63 Abs. 1 VwVG), die auf Fr. 1'500.- festzusetzen sind (Art. 1-3 des Reglements vom 21. Februar 2008 über die Kosten und Entschädigungen vor dem Bundesverwaltungs-gericht [VGKE, SR 173.320.2]).</w:t>
      </w:r>
    </w:p>
    <w:p>
      <w:r>
        <w:rPr>
          <w:b/>
        </w:rPr>
        <w:t>E. 11.3</w:t>
      </w:r>
    </w:p>
    <w:p>
      <w:r>
        <w:t>Mit dem vorliegenden Urteil ist der Antrag auf Verzicht auf die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