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E-3584/2024 vom 10. Mai 2024</w:t>
      </w:r>
    </w:p>
    <w:p>
      <w:r>
        <w:t>Bundesverwaltungsgericht, 2024-05-10, DE</w:t>
      </w:r>
    </w:p>
    <w:p>
      <w:r>
        <w:rPr>
          <w:b/>
        </w:rPr>
        <w:t xml:space="preserve">Quelle: </w:t>
      </w:r>
      <w:r>
        <w:t>https://mcp.opencaselaw.ch/entscheid/bvger_E-3584_2024_d20240510</w:t>
      </w:r>
    </w:p>
    <w:p>
      <w:r>
        <w:t>FR: TAF E-3584/2024 du 10 mai 2024</w:t>
      </w:r>
    </w:p>
    <w:p>
      <w:r>
        <w:t>IT: TAF E-3584/2024 del 10 maggio 2024</w:t>
      </w:r>
    </w:p>
    <w:p>
      <w:pPr>
        <w:pStyle w:val="Heading2"/>
      </w:pPr>
      <w:r>
        <w:t>Regeste</w:t>
      </w:r>
    </w:p>
    <w:p>
      <w:r>
        <w:t>Asyl und Wegweisung | Asyl und Wegweisung; Verfügung des SEM vom 10.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 in der Regel und auch vorliegend – zuständig für die Beurteilung der vor- liegenden Beschwerden (Art. 105 AsylG [SR 142.31]; Art. 83 Bst. d Ziff. 1 BGG).</w:t>
      </w:r>
    </w:p>
    <w:p>
      <w:r>
        <w:rPr>
          <w:b/>
        </w:rPr>
        <w:t>E. 1.2</w:t>
      </w:r>
    </w:p>
    <w:p>
      <w:r>
        <w:t>Die Beschwerden sind frist- und formgerecht eingereicht worden. Die Beschwerdeführer haben an den Verfahren vor der Vorinstanz teilgenom- men, sind durch die angefochtenen Verfügungen besonders berührt und haben ein schutzwürdiges Interesse an deren Aufhebung beziehungsweise Änderung.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E-3584/2024 E-3600/2024</w:t>
      </w:r>
    </w:p>
    <w:p>
      <w:r>
        <w:t>Seite 6</w:t>
      </w:r>
    </w:p>
    <w:p>
      <w:r>
        <w:rPr>
          <w:b/>
        </w:rPr>
        <w:t>E. 4.1</w:t>
      </w:r>
    </w:p>
    <w:p>
      <w:r>
        <w:t>Zur Begründung seines ablehnenden Entscheids führte das SEM im Wesentlichen Folgendes aus:</w:t>
      </w:r>
    </w:p>
    <w:p>
      <w:r>
        <w:rPr>
          <w:b/>
        </w:rPr>
        <w:t>E. 4.1.1</w:t>
      </w:r>
    </w:p>
    <w:p>
      <w:r>
        <w:t>Die von den Beschwerdeführern vorgebrachten Übergriffe in den Jahren 2015 bis 2018 hätten die gemäss Art. 3 AsylG erforderliche lntensi- tät nicht erreicht. Es sei auch nicht ersichtlich, dass die logistische Unter- stützung des Beschwerdeführers 2 für die YPG, und das gefundene Foto der Beschwerdeführer zusammen mit ihrem Cousin E._______ strafrecht- liche Konsequenzen nach sich gezogen hätten. Zudem fehle es an einem zeitlichen und materiellen Kausalzusammenhang mit ihrer mehr als sechs Jahre später erfolgten Ausreise. Es sei nicht von einem anhaltenden Ver- folgungsinteresse der türkischen Behörden auszugehen. Auch die von den Beschwerdeführern in G._______ und F._______ erlebten Vorfälle hätten mangels hinreichender Intensität keine flüchtlingsrechtliche Relevanz. Zu- dem seien diese Ereignisse für sie ebenfalls ohne strafrechtliche Folgen geblieben. Die eingereichten Beweismittel, denen nur ein geringer Beweis- wert bei-gemessen werden könne, vermöchten an dieser Einschätzung nichts zu ändern. Es würden letztlich keine Hinweise vorliegen, dass die Beschwerdeführer zum Zeitpunkt ihrer Ausreise oder bei einer Rückkehr deswegen noch ernsthafte Nachteile zu befürchten haben.</w:t>
      </w:r>
    </w:p>
    <w:p>
      <w:r>
        <w:rPr>
          <w:b/>
        </w:rPr>
        <w:t>E. 4.1.2</w:t>
      </w:r>
    </w:p>
    <w:p>
      <w:r>
        <w:t>Der Beschwerdeführer 1, der gemäss seinen Angaben nie offizielles Parteimitglied gewesen sei, habe sich weder durch seine Tätigkeit für die HDP im Heimatstaat noch durch das vorgebrachte exilpolitische Engage- ment besonders exponiert. Den Aussagen des Beschwerdeführers 2 sei zu entnehmen, dass auch er nicht in exponierter Stellung für die HDP tätig gewesen sei und inzwischen sein Engagement für diese gänzlich einge- stellt habe. Zudem sei er strafrechtlich unbescholten und es laufe kein Strafverfahren gegen ihn. Demnach sei nicht davon auszugehen, dass die Beschwerdeführer mit beachtlicher Wahrscheinlichkeit damit rechnen müssten, wegen ihres eigenen politischen Engagements von den türki- schen Behörden verfolgt zu werden.</w:t>
      </w:r>
    </w:p>
    <w:p>
      <w:r>
        <w:rPr>
          <w:b/>
        </w:rPr>
        <w:t>E. 4.1.3</w:t>
      </w:r>
    </w:p>
    <w:p>
      <w:r>
        <w:t>In der Türkei würden die Polizei- und Justizorgane Schutz vor Verfol- gung durch Dritte gewährleisten. Dennoch gehe aus den Akten hervor, dass die Beschwerdeführer nichts unternommen hätten, um die Drohun- gen durch Familienangehörige eines Mädchens, in welches der Beschwer- deführer 1 sich verliebt habe, zur Anzeige zu bringen, obwohl ihnen die Inanspruchnahme des verfügbaren Schutzes möglich und zumutbar gewe-</w:t>
      </w:r>
    </w:p>
    <w:p>
      <w:r>
        <w:t>E-3584/2024 E-3600/2024</w:t>
      </w:r>
    </w:p>
    <w:p>
      <w:r>
        <w:t>Seite 7 sen wäre. Dass ihnen kein Schutz gegen ihre regierungstreuen Feinde gewährt worden wäre, sei eine nicht konkretisierte Vermutung. Überdies fehle es den geschilderten Schikanen durch Drittpersonen an einem flücht- lingsrechtlich relevanten Verfolgungsmotiv.</w:t>
      </w:r>
    </w:p>
    <w:p>
      <w:r>
        <w:rPr>
          <w:b/>
        </w:rPr>
        <w:t>E. 4.1.4</w:t>
      </w:r>
    </w:p>
    <w:p>
      <w:r>
        <w:t>Eine begründete Furcht vor Reflexverfolgung in der Türkei sei praxis- gemäss nur beim Vorliegen besonderen Umstände anzunehmen. Solche seien vorliegend nicht gegeben. Der Cousin E._______ der Beschwerde- führer sei bereits 2016 verstorben, weshalb kein Verfolgungsinteresse an ihm mehr bestehe. Es würden auch keine Hinweise dafür vorliegen, dass sie vor ihrer Ausreise wegen diesem oder anderen Familienangehörigen Verfolgungsmassnahmen im Sinne von Art. 3 AsylG erlitten hätten. Na- mentlich hätten sie keine Nachteile wegen ihrer sich in der Schweiz befin- denden Verwandten geltend gemacht. Eine Konsultation der Asylakten die- ser Personen führe zu keiner anderen Einschätzung ihrer Asylbegehren. Überdies würden zahlreiche Verwandte, namentlich die Eltern und Ge- schwister des Beschwerdeführers 1, nach wie vor unbehelligt in der Heimat leben, was gewisse Zweifel an der Glaubhaftigkeit der geltend gemachten Familienfehde wecke. Die Vorbringen der Beschwerdeführer würden je- denfalls den Anforderungen die Flüchtlingseigenschaft gemäss Art. 3 AsylG nicht standhalten.</w:t>
      </w:r>
    </w:p>
    <w:p>
      <w:r>
        <w:rPr>
          <w:b/>
        </w:rPr>
        <w:t>E. 4.1.5</w:t>
      </w:r>
    </w:p>
    <w:p>
      <w:r>
        <w:t>Im Weiteren erweise sich der Wegweisungsvollzug als zulässig und zumutbar. Der Vollzug von Wegweisungen in die Provinz Sirnak sei zwar praxisgemäss generell unzumutbar. Indessen sei eine innerstaatliche Auf- enthaltsalternative zu bejahen. Die Beschwerdeführer würden in der Türkei über ein weitreichendes Beziehungsnetz auch ausserhalb ihrer heimatli- chen Provinz verfügen, das sie um Unterstützung ersuchen könnten. Über- dies seien sie gebildet und ihrer Familie gehe es gemäss ihren Angaben finanziell gut. Allfällige medizinische Probleme könnten in der Türkei be- handelt werden und eine entsprechende Behandlung wäre den Beschwer- deführern in ihrer Heimat faktisch zugänglich.</w:t>
      </w:r>
    </w:p>
    <w:p>
      <w:r>
        <w:rPr>
          <w:b/>
        </w:rPr>
        <w:t>E. 4.2</w:t>
      </w:r>
    </w:p>
    <w:p>
      <w:r>
        <w:t>In den Beschwerdeeingaben wurde im Wesentlichen gerügt, die Vor- instanz habe das politische Profil der Beschwerdeführer falsch gewürdigt. Sie würden aus einer politisch aktiven Familie stammen, welche die HDP sowie die PKK unterstütze und den türkischen Behörden als Kämpfer für die Rechte der Kurden bekannt sei. Mehrere Verwandte seien in Europa als Flüchtlinge anerkannt worden. Die Schläge, die sie in der Vergangen- heit erlitten hätten, stellten eine Gefährdung von Leben und Leib dar und</w:t>
      </w:r>
    </w:p>
    <w:p>
      <w:r>
        <w:t>E-3584/2024 E-3600/2024</w:t>
      </w:r>
    </w:p>
    <w:p>
      <w:r>
        <w:t>Seite 8 hätten einen unerträglichen psychischen Druck bewirkt. Sie hätten somit objektiv nachvollziehbare Furcht vor ernsthaften Nachteilen im Sinne des Asylgesetzes. Im Übrigen habe der Beschwerdeführer 1 bei den Anhörun- gen deutliche Schwierigkeiten gehabt, sich präzise auszudrücken. Mög- licherweise habe es deswegen Probleme bei der Übersetzung gegeben.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hat zu Recht und mit überzeugender Begründung die asylrechtliche Relevanz der Vorbringen der Beschwerdeführer verneint. Zur Vermeidung von Wiederholungen kann vorab auf diese Erwägungen des SEM verwiesen werden.</w:t>
      </w:r>
    </w:p>
    <w:p>
      <w:r>
        <w:rPr>
          <w:b/>
        </w:rPr>
        <w:t>E. 6.2</w:t>
      </w:r>
    </w:p>
    <w:p>
      <w:r>
        <w:t>Den Befragungsprotokollen lassen sich keine Hinweise auf relevante Verständigungs- oder Übersetzungsprobleme anlässlich der Anhörungen</w:t>
      </w:r>
    </w:p>
    <w:p>
      <w:r>
        <w:t>E-3584/2024 E-3600/2024</w:t>
      </w:r>
    </w:p>
    <w:p>
      <w:r>
        <w:t>Seite 9 des Beschwerdeführers 1 entnehmen. Er bestätigte jeweils unterschriftlich die Richtigkeit der Protokolle, sowie dass er die dolmetschende Person verstanden habe (vgl. Akten SEM N […] A18/10 F1 und S. 10, A26/14 F1 und S. 14). Zudem erhob die bei beiden Anhörungen anwesende Rechts- vertretung keine entsprechenden Einwände. Es besteht somit kein Grund zur Annahme, der Beschwerdeführer 1 wäre nicht in der Lage gewesen, seine Asylgründe adäquat darzulegen.</w:t>
      </w:r>
    </w:p>
    <w:p>
      <w:r>
        <w:rPr>
          <w:b/>
        </w:rPr>
        <w:t>E. 6.3</w:t>
      </w:r>
    </w:p>
    <w:p>
      <w:r>
        <w:t>Die Rüge, das SEM habe das politische Profil der Beschwerdeführer unrichtig gewürdigt, ist unbegründet: Weder die von ihnen gemäss ihrer Darstellung in der Vergangenheit erlittenen Behelligungen noch ihr ledig- lich niederschwelliges politisches Engagement im Heimatstaat (für die HDP respektive YPG) rechtfertigen die Annahme, dass sie aktuell mit Nachteilen im Sinne von Art. 3 AsylG seitens der türkischen Behörden zu rechnen ha- ben.</w:t>
      </w:r>
    </w:p>
    <w:p>
      <w:r>
        <w:rPr>
          <w:b/>
        </w:rPr>
        <w:t>E. 6.4</w:t>
      </w:r>
    </w:p>
    <w:p>
      <w:r>
        <w:t>Die Schilderungen der Beschwerdeführer lassen nicht darauf schlies- sen, dass sie nach dem Übergriff durch Polizisten im Jahr 2015 oder 2016 weitere Nachteile im Zusammenhang mit ihrem Cousin E._______ erlitten haben. Ein Kausalzusammenhang zwischen diesem Ereignis und ihrer erst sechs Jahre später erfolgten Ausreise wurde vom SEM zu Recht verneint. Ferner haben sie nicht geltend gemacht, aufgrund ihres familiären und ver- wandtschaftlichen Umfelds Verfolgungsmassnahmen asylrelevanten Aus- masses ausgesetzt gewesen zu sein. Insbesondere ist kein Zusammen- hang zwischen den Vorbringen der Beschwerdeführer und dem Profil ihres in der Schweiz als Flüchtling anerkannten Bruders respektive Onkels, L._______ (N […]), erkennbar. Gegen eine begründete Furcht der Be- schwerdeführer vor Reflexverfolgung spricht auch, dass etliche Familien- angehörige offenbar nach wie vor unbehelligt im Heimatstaat leben.</w:t>
      </w:r>
    </w:p>
    <w:p>
      <w:r>
        <w:rPr>
          <w:b/>
        </w:rPr>
        <w:t>E. 6.5</w:t>
      </w:r>
    </w:p>
    <w:p>
      <w:r>
        <w:t>Der türkische Staat gilt gemäss Rechtsprechung in Bezug auf gemein- strafrechtlich relevantes Verhalten von Drittpersonen als schutzfähig sowie schutzwillig (vgl. statt vieler Urteile des BVGer E-4548/2020 vom 23. Okto- ber 2023 E. 5.1 m.w.H.). Wie das SEM zutreffend ausführt, lässt sich aus den Akten nicht schliessen, dass den Beschwerdeführern dieser Schutz gegen die von ihnen vorgebrachten Drohungen und Übergriffe durch einen verfeindeten Clan nicht gewährt worden wäre. Der Einwand, ihre Gegner würden wegen seiner Regierungsnähe durch die türkischen Behörden unterstützt, ist eine nicht näher substanziierte Behauptung. Überdies lassen die Ausführungen der Beschwerdeführer darauf schliessen, dass es sich um eine lokal beschränkte Auseinandersetzung handelt, aus welcher</w:t>
      </w:r>
    </w:p>
    <w:p>
      <w:r>
        <w:t>E-3584/2024 E-3600/2024</w:t>
      </w:r>
    </w:p>
    <w:p>
      <w:r>
        <w:t>Seite 10 nicht auf eine landesweite Gefährdung geschlossen werden kann. Aus ihren Darlegungen geht denn auch nicht hervor, dass sie während ihrer Aufenthalte in F._______ und G._______ asylrelevante Nachteile durch die genannten Verfolger erlitten hätten.</w:t>
      </w:r>
    </w:p>
    <w:p>
      <w:r>
        <w:rPr>
          <w:b/>
        </w:rPr>
        <w:t>E. 6.6</w:t>
      </w:r>
    </w:p>
    <w:p>
      <w:r>
        <w:t>Eine tatsächliche Gefährdung aufgrund eines exilpolitischen Engage- ments im Falle der Rückkehr in die Türkei setzt gemäss Rechtsprechung des Bundesverwaltungsgerichtes voraus, dass konkrete Anhaltspunkte für die Annahme vorliegen, exilpolitisch aktive Staatsangehörige der Türkei hätten tatsächlich das Interesse der heimatlichen Behörden auf sich gezo- gen und seien als regimefeindliche Personen namentlich identifiziert und registriert wurden (vgl. Urteil des BVGer D-2759/2020 vom 29. September 2021 E. 8.2 m.w.H.). Eine solche Situation ist vorliegend nicht gegeben, da die von den Beschwerdeführern erwähnten politischen Aktivitäten in der Schweiz als niederschwellig und massentypisch zu qualifizieren sind. Subjektive Nachfluchtgründe im Sinne von Art. 54 AsylG sind folglich zu verneinen.</w:t>
      </w:r>
    </w:p>
    <w:p>
      <w:r>
        <w:rPr>
          <w:b/>
        </w:rPr>
        <w:t>E. 6.7</w:t>
      </w:r>
    </w:p>
    <w:p>
      <w:r>
        <w:t>Zu bestätigen ist schliesslich die Einschätzung der Vorinstanz, dass die von den Beschwerdeführern eingereichten Beweismittel nicht geeignet sind, ein Verfolgungsrisiko im Sinne von Art.3 AsylG zu belegen.</w:t>
      </w:r>
    </w:p>
    <w:p>
      <w:r>
        <w:rPr>
          <w:b/>
        </w:rPr>
        <w:t>E. 6.8</w:t>
      </w:r>
    </w:p>
    <w:p>
      <w:r>
        <w:t>Zusammenfassend ergibt sich, dass das SEM zu Recht die Flüchtlings- eigenschaft der Beschwerdeführer verneint und ihre Asylgesuche abge- 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t>E-3584/2024 E-3600/2024</w:t>
      </w:r>
    </w:p>
    <w:p>
      <w:r>
        <w:t>Seite 11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w:t>
      </w:r>
    </w:p>
    <w:p>
      <w:r>
        <w:t>E-3584/2024 E-3600/2024</w:t>
      </w:r>
    </w:p>
    <w:p>
      <w:r>
        <w:t>Seite 12</w:t>
      </w:r>
    </w:p>
    <w:p>
      <w:r>
        <w:rPr>
          <w:b/>
        </w:rPr>
        <w:t>E. 8.2.5</w:t>
      </w:r>
    </w:p>
    <w:p>
      <w:r>
        <w:t>Sodann ergeben sich weder aus den Aussagen der Beschwerde- führer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Praxisgemäss wird davon ausgegangen, dass der Vollzug von Weg- weisungen in die Provinz Sirnak aufgrund gewaltsamer Auseinanderset- zungen als generell nicht zumutbar zu qualifizieren ist (vgl. BVGE 2013/2 E. 9.6; Referenzurteil des BVGer E-1948/2018 vom 12. Juni 2018 E. 7.3.1). In den angefochtenen Verfügungen wird aber zutreffend ausgeführt, dass die Beschwerdeführer sich an einem anderen Ort in der Türkei nieder- lassen können und ihnen die Inanspruchnahme einer solchen innerstaatli- chen Aufenthaltsalternative auch zuzumuten ist. Die jungen und gut aus- gebildeten Beschwerdeführer haben sich schon vor ihrer Ausreise in ver- schiedenen anderen Landesregionen aufgehalten, wo sie auch über ver- wandtschaftliche Bezugspersonen verfügen. Der Hinweis des SEM auf das Bestehen eines tragfähigen Familiennetzes blieb denn auch unbestritten.</w:t>
      </w:r>
    </w:p>
    <w:p>
      <w:r>
        <w:t>E-3584/2024 E-3600/2024</w:t>
      </w:r>
    </w:p>
    <w:p>
      <w:r>
        <w:t>Seite 13</w:t>
      </w:r>
    </w:p>
    <w:p>
      <w:r>
        <w:rPr>
          <w:b/>
        </w:rPr>
        <w:t>E. 8.3.3</w:t>
      </w:r>
    </w:p>
    <w:p>
      <w:r>
        <w:t>Die im Arztbericht der Psychiatrischen Dienste M._______, vom 26. Juni 2023 dokumentierten gesundheitlichen Probleme des Beschwer- deführers 1 (Anpassungsstörung mit längerer depressiver Reaktion [ICD-</w:t>
      </w:r>
    </w:p>
    <w:p>
      <w:r>
        <w:rPr>
          <w:b/>
        </w:rPr>
        <w:t>E. 8.3.4</w:t>
      </w:r>
    </w:p>
    <w:p>
      <w:r>
        <w:t>Nach dem Gesagten erweist sich der Vollzug der Wegweisung auch als zumutbar.</w:t>
      </w:r>
    </w:p>
    <w:p>
      <w:r>
        <w:rPr>
          <w:b/>
        </w:rPr>
        <w:t>E. 8.4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10</w:t>
      </w:r>
    </w:p>
    <w:p>
      <w:r>
        <w:t>Bei diesem Ausgang der vereinigten Verfahren sind deren Kosten den Beschwerdeführern aufzuerlegen (Art. 63 Abs. 1 VwVG) und auf insge- samt Fr. 950.‒ festzusetzen (Art. 1–3 des Reglements vom 21. Februar 2008 über die Kosten und Entschädigungen vor dem Bundesverwaltungs- gericht [VGKE, SR 173.320.2]). Der in gleicher Höhe geleistete Kostenvor- schuss ist zur Begleichung dieser Kosten zu verwenden.</w:t>
      </w:r>
    </w:p>
    <w:p>
      <w:r>
        <w:t>E-3584/2024 E-3600/2024</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