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E-3578/2021 vom 7. Juli 2021</w:t>
      </w:r>
    </w:p>
    <w:p>
      <w:r>
        <w:t>Bundesverwaltungsgericht, 2021-07-07, DE</w:t>
      </w:r>
    </w:p>
    <w:p>
      <w:r>
        <w:rPr>
          <w:b/>
        </w:rPr>
        <w:t xml:space="preserve">Quelle: </w:t>
      </w:r>
      <w:r>
        <w:t>https://mcp.opencaselaw.ch/entscheid/bvger_E-3578_2021_d20210707</w:t>
      </w:r>
    </w:p>
    <w:p>
      <w:r>
        <w:t>FR: TAF E-3578/2021 du 7 juillet 2021</w:t>
      </w:r>
    </w:p>
    <w:p>
      <w:r>
        <w:t>IT: TAF E-3578/2021 del 7 luglio 2021</w:t>
      </w:r>
    </w:p>
    <w:p>
      <w:pPr>
        <w:pStyle w:val="Heading2"/>
      </w:pPr>
      <w:r>
        <w:t>Regeste</w:t>
      </w:r>
    </w:p>
    <w:p>
      <w:r>
        <w:t>Asyl und Wegweisung (Mehrfachgesuch/Wiedererw&amp;auml;gung) | Asyl und Wegweisung (Mehrfachgesuch/Wiedererwägung); Verfügung des SEM vom 7. Juli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nach Art. 49 VwVG (Art. 112 Abs. 1 AIG [SR 142.20]).</w:t>
      </w:r>
    </w:p>
    <w:p>
      <w:r>
        <w:t>E-3578/2021 Seite 6</w:t>
      </w:r>
    </w:p>
    <w:p>
      <w:r>
        <w:rPr>
          <w:b/>
        </w:rPr>
        <w:t>E. 3</w:t>
      </w:r>
    </w:p>
    <w:p>
      <w:r>
        <w:t>Die Verfügung des SEM vom 7. Juli 2021 ist, soweit sie die Flüchtlingsei- genschaft, die Ablehnung des Asylgesuchs und die Wegweisung an sich betrifft (Ziff. 1, 2 und 3 des Dispositivs der angefochtenen Verfügung), man- gels Anfechtung in Rechtskraft erwachsen.</w:t>
      </w:r>
    </w:p>
    <w:p>
      <w:r>
        <w:rPr>
          <w:b/>
        </w:rPr>
        <w:t>E. 4</w:t>
      </w:r>
    </w:p>
    <w:p>
      <w:r>
        <w:t>Wie in der Beschwerde geltend gemacht und bereits mit Zwischenverfü- gung vom 11. August 2021 festgehalten, hat sich die Vorinstanz – im Zeit- punkt des Erlasses der angefochtenen Verfügung in Unkenntnis von der Vaterschaft des Beschwerdeführers und einer gemeinsamen elterlichen Sorge – mit den genannten rechtserheblichen Aspekten nicht auseinander- gesetzt. Das SEM hatte zu jenem Zeitpunkt indes keinen Anlass, sich mit der Frage rund um den Aspekt der Vaterschaft auseinanderzusetzen, nach- dem es davon weder wissen konnte noch musste. Bei dieser Sachlage hat das Bundesverwaltungsgericht der Vorinstanz Gelegenheit gegeben, sich zur Beschwerdeeingabe als solche, wie auch im Besonderen zur geltend gemachten Vaterschaft und den vom Beschwerdeführer hieraus abgeleite- ten Rechtspositionen zu äussern. In ihrer Vernehmlassung hat sich die Vor- instanz einlässlich mit der bestehenden Vaterschaft des Beschwerdefüh- rers und deren konkreter Ausgestaltung auseinandergesetzt und der Be- schwerdeführer erhielt im Rahmen des gewährten Replikrechts Gelegen- heit zur Stellungnahme. Der Sachverhalt ist im heutigen Zeitpunkt als hin- reichend erstellt zu erachten und dem Anspruch des rechtlichen Gehörs wurde Genüge getan. Es kann auf die Aufhebung der angefochtenen Ver- fügung verzichtet werden.</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Nach den Beschwerdeanträgen ist die vom SEM angeordnete Wegwei- sung als solche nicht mehr Gegenstand des vorliegenden Beschwerdever- fahrens.</w:t>
      </w:r>
    </w:p>
    <w:p>
      <w:r>
        <w:rPr>
          <w:b/>
        </w:rPr>
        <w:t>E. 6.1</w:t>
      </w:r>
    </w:p>
    <w:p>
      <w:r>
        <w:t>Ist der Vollzug der Wegweisung nicht zulässig, nicht zumutbar oder nicht möglich, so regelt das SEM das Anwesenheitsverhältnis nach den</w:t>
      </w:r>
    </w:p>
    <w:p>
      <w:r>
        <w:t>E-3578/2021 Seite 7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6.2.2</w:t>
      </w:r>
    </w:p>
    <w:p>
      <w:r>
        <w:t>Infolge der auf den Vollzugspunkt beschränkten Anfechtung ist die Feststellung, dass der Beschwerdeführer die Flüchtlingseigenschaft nicht erfüllt, in Rechtskraft erwachsen. Das Non-Refoulement-Prinzip im Sinne der vorgenannten flüchtlingsrechtlichen Bestimmungen ist daher nicht tan- giert.</w:t>
      </w:r>
    </w:p>
    <w:p>
      <w:r>
        <w:rPr>
          <w:b/>
        </w:rPr>
        <w:t>E. 6.2.3</w:t>
      </w:r>
    </w:p>
    <w:p>
      <w:r>
        <w:t>Gemäss Praxis des Europäischen Gerichtshofes für Menschenrechte (EGMR) sowie jener des UN-Anti-Folterausschusses müsste der Be- schwerdeführer eine konkrete Gefahr ("real risk") nachweisen oder glaub- haft machen, dass ihm im Fall einer Rückschiebung Folter oder unmensch- liche Behandlung drohen würde (vgl. EGMR [Grosse Kammer], Saadi ge- gen Italien, Urteil vom 28. Februar 2008, Beschwerde Nr. 37201/06, §§ 124 – 127, mit weiteren Hinweisen). Weder aus den Aussagen des Beschwer- deführers noch aus den Akten ergeben sich Anhaltspunkte dafür, dass er für den Fall einer Ausschaffung in den Heimatstaat dort mit beachtlicher Wahrscheinlichkeit einer nach Art. 3 EMRK oder Art. 1 FoK verbotenen</w:t>
      </w:r>
    </w:p>
    <w:p>
      <w:r>
        <w:t>E-3578/2021 Seite 8 Strafe oder Behandlung ausgesetzt wäre. Auch die allgemeine Menschen- rechtssituation im Heimatstaat lässt den Wegweisungsvollzug zum heuti- gen Zeitpunkt nicht als unzulässig erscheinen.</w:t>
      </w:r>
    </w:p>
    <w:p>
      <w:r>
        <w:rPr>
          <w:b/>
        </w:rPr>
        <w:t>E. 6.2.4</w:t>
      </w:r>
    </w:p>
    <w:p>
      <w:r>
        <w:t>Auf Beschwerdeebene wurde geltend gemacht, dass, da der Be- schwerdeführer einen Sohn mit schweizerischer Staatsangehörigkeit habe, ein Anspruch aus Art. 8 EMRK zu prüfen sei. Vorab ist festzuhalten, dass es im vorliegenden Verfahren um den Vollzug der Wegweisung nach rechtskräftiger Abweisung des Asylgesuches geht und nicht um die Prü- fung der Erteilung einer Aufenthaltsbewilligung, wozu die ausländerrechtli- chen Behörden zuständig sind. Es ist entsprechend hier nur zu prüfen, ob der Vollzug der Wegweisung gegen Art. 8 EMRK, und damit eine weitere völkerrechtliche Bestimmung verstösst. Dies ist – wie nachfolgend ausge- führt – zu verneinen. Gemäss bundesgerichtlicher Praxis muss der Elternteil, der sich für das Zusammenleben mit seinen Kindern auf Art. 8 EMRK beruft, aus familien- rechtlichen Gründen grundsätzlich über das Sorge- beziehungsweise Obhutsrecht verfügen. Der nicht sorge- beziehungsweise obhutsberechtigte Ausländer kann die familiäre Beziehung mit seinen Kindern schon aus zivilrechtlichen Gründen von vornherein nur in einem beschränkten Rahmen leben, nämlich durch Ausübung des ihm eingeräumten Besuchsrechts. Hierzu ist nach Praxis des Bundesgerichts grundsätzlich nicht erforderlich, dass er dauernd im gleichen Land wie das Kind lebt. Den Anforderungen von Art. 8 EMRK ist grundsätzlich Genüge getan, wenn das Besuchsrecht im Rahmen von Kurzaufenthalten vom Ausland her ausgeübt werden kann, wobei allenfalls dessen Modalitäten entsprechend anzupassen sind. Ein Anspruch auf erst- malige Erteilung einer Aufenthaltsbewilligung ist gemäss bundesgerichtli- cher Rechtsprechung hingegen ausnahmsweise zu bejahen, wenn zwi- schen dem Ausländer und dessen Kindern erstens in wirtschaftlicher und affektiver Hinsicht eine besonders enge Beziehung besteht, zweitens ein grosszügig ausgestaltetes Besuchsrecht besteht, das auch tatsächlich wahrgenommen wird (wobei "grosszügig" gemäss Bundesgericht im Sinne von "deutlich mehr als üblich" zu verstehen ist) und dieses Besuchsrecht, würde eine Bewilligung verweigert, wegen der Distanz zwischen der Schweiz und dem Land, in welches der Ausländer vermutlich auszureisen hätte, drittens praktisch nicht aufrechterhalten werden könnte; zudem darf</w:t>
      </w:r>
    </w:p>
    <w:p>
      <w:r>
        <w:t>E-3578/2021 Seite 9 das bisherige Verhalten des Ausländers in der Schweiz viertens zu keiner- lei Klagen Anlass gegeben haben (vgl. zum Ganzen BGE 139 I 315 E. 2.2 m.w.H.). Aus den Akten ergibt sich, dass der Beschwerdeführer zwar seine Vater- schaft anerkannt und am 18. Dezember 2017 mit der Kindsmutter die ge- meinsame elterliche Sorge vereinbart hat. Aus den Akten ergibt sich indes ebenso, dass in affektiver Hinsicht keine besonders enge Beziehung des Beschwerdeführers zu seinem Sohn besteht. So sah sich die Kindsmutter am 25. September 2020 letztlich sogar veranlasst das alleinige Sorgen- recht für C._______ zu beantragen mit der Begründung, der Beschwerde- führer habe sein Besuchsrecht in den letzten drei Jahren nur «vage» wahr- genommen. Weiter kommt hinzu, dass der Beschwerdeführer bei der Ein- reichung seines Mehrfachgesuches vom 13. August 2020 seinen Sohn mit keinem Wort erwähnt hat, was den ohnehin schon bestehenden Eindruck eines bloss geringen Interesses des Beschwerdeführers an seinem Sohn noch weiter verstärkt. Die Entgegnung in der Beschwerde, wonach der Be- schwerdeführer bei der Einreichung seines Mehrfachgesuches davon aus- gegangen sei, dass das SEM Kenntnis von der Tatsache seiner Vaterschaft habe, vermag das gänzliche Nichterwähnen seines Sohnes nicht zu erklä- ren. Dies zumal die mögliche Wiedervereinigung mit der Kindsmutter ge- rade Gegenstand des Mehrfachgesuchs war und vor diesem Hintergrund ein Nichterwähnen des gemeinsamen Sohnes sehr ungewöhnlich ist. Auch der Erklärungsversuch des Beschwerdeführers, er habe sein Besuchsrecht nur deshalb «vage» wahrgenommen, weil er nach Ablehnung seines Asyl- gesuches die Schweiz habe verlassen müssen und wegen des jungen Al- ters seines Sohnes keinen Kontakt per SMS oder Mail mit ihm habe pflegen können, vermag nicht zu überzeugen. So wäre es dem Beschwerdeführer auch von Serbien aus problemlos möglich gewesen, zum Beispiel per Skype seinen Sohn zu sehen oder anderweitige Kontakte mit seinem Sohn zu pflegen (Briefe, Geschenke, Telefonanrufe, Fotos). Die alleinige Tatsa- che, dass sich der Beschwerdeführer und die Kindsmutter mit einer Ver- einbarung über den persönlichen Verkehr vom 13. November 2020 nun darüber geeinigt haben, die Beziehung des Beschwerdeführers zu seinem Sohn gemäss der Vereinbarung aufzubauen, vermag das Vorliegen einer affektiven Beziehung nicht zu begründen, zumal die Vereinbarung erst Mo- nate nach der Einreichung des Mehrfachgesuchs zustande gekommen war, und der Beschwerdeführer im weiteren Verlauf des Verfahrens (so im Rahmen des Replikrechts) keine konkreten Angaben zur Ausgestaltung seines Besuchsrechts gemacht hat. Da das Kind allein bei der Kindsmutter lebt, ist auch davon auszugehen, dass diese die Hauptbezugsperson des</w:t>
      </w:r>
    </w:p>
    <w:p>
      <w:r>
        <w:t>E-3578/2021 Seite 10 Kindes ist, so dass sich auch unter dem Aspekt des Kindeswohls keine andere Beurteilung ergibt. Zudem ist es dem Beschwerdeführer möglich und zumutbar, die Beziehung zu seinem Kind auch von Serbien aus sowie im Rahmen von Besuchen in der Schweiz zu unterhalten sowie in anderer Weise den Kontakt mit seinem Sohn zu pflegen (Skype, Telefonanrufe, Briefe, Geschenke, Fotos). Im Übrigen besteht auch in wirtschaftlicher Hin- sicht keine Beziehung des Beschwerdeführers zu seinem Sohn. Aus den genannten Gründen ist festzustellen, dass Art. 8 EMRK einem Vollzug der Wegweisung nach Serbien nicht entgegensteht, da die Bezie- hung zu seinem Sohn auch im Rahmen von gegenseitigen Besuchsaufent- halten und mittels moderner Kommunikationsmitteln hinreichend gepflegt werden kann.</w:t>
      </w:r>
    </w:p>
    <w:p>
      <w:r>
        <w:rPr>
          <w:b/>
        </w:rPr>
        <w:t>E. 7.1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Die allgemeine Lage in Serbien ist weder von Bürgerkrieg noch von allge- meiner Gewalt gekennzeichnet, so dass der Vollzug der Wegweisung dort- hin grundsätzlich zumutbar ist. Zudem hat der Bundesrat mit Beschluss vom 25. Oktober 2017 Serbien per 1. Januar 2018 als Staat bezeichnet, in den die Rückkehr in der Regel zumutbar ist (Art. 83 Abs. 5 AIG). Es handelt sich dabei um eine Regelvermutung, die aufgrund konkreter Hinweise um- gestossen werden kann. In individueller Hinsicht führte das SEM unter anderem aus, dass der im Kosovo geborene Beschwerdeführer über die serbische Staatsangehörig- keit verfüge, den grössten Teil seines Lebens in Belgrad (Serbien) ver- bracht habe, wo er auch vier oder fünf Jahre lang zur Schule gegangen sei, und über ein Beziehungsnetz verfüge. Das Bundesverwaltungsgericht schliesst sich dieser Einschätzung an. Auf Beschwerdeebene werden keine gegenteiligen Angaben gemacht. Aus den genannten Gründen ist der Vollzug der Wegweisung auch zumutbar.</w:t>
      </w:r>
    </w:p>
    <w:p>
      <w:r>
        <w:t>E-3578/2021 Seite 11</w:t>
      </w:r>
    </w:p>
    <w:p>
      <w:r>
        <w:rPr>
          <w:b/>
        </w:rPr>
        <w:t>E. 7.2</w:t>
      </w:r>
    </w:p>
    <w:p>
      <w:r>
        <w:t>Schliesslich obliegt es dem Beschwerdeführer, sich bei der zuständi- gen Vertretung des Heimatstaates die für eine Rückkehr allenfalls notwen- digen Reisedokumente zu beschaffen (vgl. Art. 8 Abs. 4 AsylG und dazu auch BVGE 2008/34 E. 12).</w:t>
      </w:r>
    </w:p>
    <w:p>
      <w:r>
        <w:rPr>
          <w:b/>
        </w:rPr>
        <w:t>E. 7.3</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dem Beschwer- deführer aufzuerlegen (Art. 63 Abs. 1 VwVG). Indessen ist das mit der Be- schwerde gestellte Gesuch um Gewährung der unentgeltlichen Rechts- pflege gemäss Art. 65 Abs. 1 VwVG, da die Rechtsbegehren nicht aus- sichtslos erschienen und die Bedürftigkeit des Beschwerdeführers belegt wurde, gutzuheissen. Demzufolge sind keine Verfahrenskosten zu erhe- ben.</w:t>
      </w:r>
    </w:p>
    <w:p>
      <w:r>
        <w:rPr>
          <w:b/>
        </w:rPr>
        <w:t>E. 9.2</w:t>
      </w:r>
    </w:p>
    <w:p>
      <w:r>
        <w:t>Die Nichtberücksichtigung der Vaterschaft in der angefochtenen Verfü- gung ist darauf zurückzuführen, dass der Beschwerdeführer in Verletzung seiner Mitwirkungspflicht die Existenz seines Sohnes bis anhin bezie- hungsweise in seinem Mehrfachgesuch vom 13. August 2020 der Vor- instanz gegenüber unerwähnt liess. Da bei dieser Sachlage keine Verfah- rensverletzung seitens der Vorinstanz erkennbar ist, ist diesbezüglich auch keine Parteientschädigung auszurichten.</w:t>
      </w:r>
    </w:p>
    <w:p>
      <w:r>
        <w:rPr>
          <w:b/>
        </w:rPr>
        <w:t>E. 9.3</w:t>
      </w:r>
    </w:p>
    <w:p>
      <w:r>
        <w:t>In der Beschwerde wurde um Gewährung der unentgeltlichen Rechts- verbeiständung ersucht. Gemäss Art. 65 Abs. 2 VwVG – welcher auf Be- schwerdeebene im Rahmen eines Mehrfachgesuchs zur Anwendung ge- langt – wird einer mittellosen Partei, soweit es zur Wahrung ihrer Rechte notwendig ist, in einem nicht aussichtslosen Verfahren eine Anwältin oder ein Anwalt bestellt. Ausschlaggebend für die Gewährung der unentgeltli- chen Rechtsverbeiständung im Sinne von Art. 65 Abs. 2 VwVG ist das Kri- terium, ob die beschwerdeführende Partei zur Wahrung ihrer Rechte not- wendigerweise der professionellen juristischen Hilfe eines Anwaltes bedarf</w:t>
      </w:r>
    </w:p>
    <w:p>
      <w:r>
        <w:t>E-3578/2021 Seite 12 (vgl. dazu BGE 128 I 225 E. 2.5.2 S. 232 f.; 122 I 49 E. 2c S. 51 ff.; 120 Ia 43 E. 2a S. 44 ff.). In Verfahren, welche – wie das vorliegende – vom Un- tersuchungsgrundsatz beherrscht sind, sind strenge Massstäbe an die Ge- währung der unentgeltlichen Verbeiständung anzusetzen (vgl. EMARK 2000 Nr. 6 sowie BGE 122 I 8 E. 2c S. 10). Im asylrechtlichen Beschwer- deverfahren sind besondere Rechtskenntnisse zur wirksamen Beschwer- deführung im Regelfall nicht unbedingt erforderlich. Aus diesen Gründen wird die unentgeltliche Verbeiständung im Sinne von Art. 65 Abs. 2 VwVG praxisgemäss nur in den besonderen Fällen gewährt, in welchen in recht- licher oder tatsächlicher Hinsicht erhöhte Schwierigkeiten bestehen (vgl. statt vieler: Urteil E-4667/2018 des BVGer vom 22. Januar 2020, E. 13.2.). Das vorliegende Verfahren erscheint weder in tatsächlicher noch in recht- licher Hinsicht besonders komplex. Das Gesuch um unentgeltliche Rechts- verbeiständung ist deshalb gestützt auf Art. 65 Abs. 2 VwVG abzuweisen.</w:t>
      </w:r>
    </w:p>
    <w:p>
      <w:r>
        <w:t>(Dispositiv nächste Seite)</w:t>
      </w:r>
    </w:p>
    <w:p>
      <w:r>
        <w:t>E-3578/2021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