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E-3577/2025 vom 14. April 2025</w:t>
      </w:r>
    </w:p>
    <w:p>
      <w:r>
        <w:t>Bundesverwaltungsgericht, 2025-04-14, DE</w:t>
      </w:r>
    </w:p>
    <w:p>
      <w:r>
        <w:rPr>
          <w:b/>
        </w:rPr>
        <w:t xml:space="preserve">Quelle: </w:t>
      </w:r>
      <w:r>
        <w:t>https://mcp.opencaselaw.ch/entscheid/bvger_E-3577_2025_d20250414</w:t>
      </w:r>
    </w:p>
    <w:p>
      <w:r>
        <w:t>FR: TAF E-3577/2025 du 14 avril 2025</w:t>
      </w:r>
    </w:p>
    <w:p>
      <w:r>
        <w:t>IT: TAF E-3577/2025 del 14 aprile 2025</w:t>
      </w:r>
    </w:p>
    <w:p>
      <w:pPr>
        <w:pStyle w:val="Heading2"/>
      </w:pPr>
      <w:r>
        <w:t>Regeste</w:t>
      </w:r>
    </w:p>
    <w:p>
      <w:r>
        <w:t>Asyl und Wegweisung | Asyl und Wegweisung; Verfügung des SEM vom 14. April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t>E-3577/2025 Seite 5</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Nachdem auch der mit Zwischenverfügung vom 22. Mai 2025 eingefor- derte Kostenvorschuss rechtzeitig überwiesen wurde, ist auf die Be- 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auf einen Schrif- tenwechsel zu verzichten und der Beschwerdeentscheid nur summarisch zu begründen ist (Art. 111a Abs. 1 und 2 AsylG).</w:t>
      </w:r>
    </w:p>
    <w:p>
      <w:r>
        <w:rPr>
          <w:b/>
        </w:rPr>
        <w:t>E. 4.1</w:t>
      </w:r>
    </w:p>
    <w:p>
      <w:r>
        <w:t>In der Beschwerde werden formelle Rügen erhoben, die vorab zu prü- fen sind, da sie allenfalls geeignet sind, eine Kassation der vorinstanzlichen Verfügung zu bewirken (vgl. statt vieler BVGer D-4218/2025 vom 18. Juni 2025 E. 4.1 m.H.a. BVGE 2013/34 E. 4.2). Konkret rügen die Beschwerdeführenden, die Vorinstanz habe den Unter- suchungsgrundsatz und ihren Anspruch auf rechtliches Gehör verletzt, in- dem sie es unterlassen habe, klärende Fragen zu nicht vollständigen oder widersprüchlichen Angaben der Beschwerdeführenden zu stellen. Ausser- dem sei die Vorinstanz ihrer Begründungspflicht nicht nachgekommen, weil in der angefochtenen Verfügung nicht ausgeführt worden sei, inwiefern die Aussagen der Beschwerdeführenden zu knapp und zu wenig spezifisch ausgefallen seien. Die Vorinstanz habe zudem die eingereichten Beweis- mittel nicht einzelfallspezifisch gewürdigt und habe es unterlassen, die Vor- bringen der Beschwerdeführenden auf ihre Asylrelevanz gemäss Art. 3 AsylG zu prüfen.</w:t>
      </w:r>
    </w:p>
    <w:p>
      <w:r>
        <w:t>E-3577/2025 Seite 6</w:t>
      </w:r>
    </w:p>
    <w:p>
      <w:r>
        <w:rPr>
          <w:b/>
        </w:rPr>
        <w:t>E. 4.2</w:t>
      </w:r>
    </w:p>
    <w:p>
      <w:r>
        <w:t>Der Auffassung der Beschwerdeführenden, die Vorinstanz sei ihrer Pflicht nicht nachgekommen, klärende Fragen zu unvollständigen oder wi- dersprüchlichen Angaben zu stellen, kann nicht gefolgt werden. So ist den Anhörungsprotokollen zu entnehmen, dass den Beschwerdeführenden ge- nügend Gelegenheit gegeben wurde, sich detailliert zu ihren Asylvorbrin- gen zu äussern, und die Vorinstanz auch wiederholt Fragen zwecks Klä- rung und Präzisierung ihrer Vorbringen gestellt hat. Mithin ergibt sich aus den Akten weder eine unvollständige oder unrichtige Feststellung des rechtserheblichen Sachverhalts noch eine Verletzung des Anspruchs auf rechtliches Gehör. Auch ist nicht ersichtlich, inwiefern die Vorinstanz ihre Begründungspflicht verletzt hätte. Die Vorinstanz hat ihren Standpunkt in der angefochtenen Verfügung ausführlich begründet und sich mit den we- sentlichen Asylvorbringen der Beschwerdeführenden auseinandergesetzt. Sodann hat sie sich mit den eingereichten Beweismitteln auseinanderge- setzt und festgehalten, warum diese ihrer Einschätzung, wonach die Anga- ben der Beschwerdeführenden den Anforderungen an die Glaubhaftigkeit nicht standhalten, nicht zu ändern vermögen. Angesichts der Tatsache, dass die Vorinstanz das Asylgesuch der Beschwerdeführenden gestützt auf Art. 7 AsylG abgelehnt hat, war sie auch nicht verpflichtet, die Asylrele- vanz ihrer Vorbringen zu prüfen. Soweit die Beschwerdeführenden mit ih- ren formellen Rügen Kritik an der Würdigung des Sachverhalts durch die Vorinstanz üben, beschlägt dies eine materielle Frage, auf die nachfolgend einzugehen sein wird.</w:t>
      </w:r>
    </w:p>
    <w:p>
      <w:r>
        <w:rPr>
          <w:b/>
        </w:rPr>
        <w:t>E. 4.3</w:t>
      </w:r>
    </w:p>
    <w:p>
      <w:r>
        <w:t>Vor diesem Hintergrund erweisen sich die formellen Rügen als unbe- gründet und es besteht keine Veranlassung, die angefochtene Verfügung aufzuheben und die Sache an die Vorinstanz zurückzuweisen. Das Rück- weisungsbegehren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E-3577/2025 Seite 7</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2012/5 E. 2.2).</w:t>
      </w:r>
    </w:p>
    <w:p>
      <w:r>
        <w:rPr>
          <w:b/>
        </w:rPr>
        <w:t>E. 6.1</w:t>
      </w:r>
    </w:p>
    <w:p>
      <w:r>
        <w:t>Die Vorinstanz begründete die ablehnende Asylverfügung mit der Un- glaubhaftigkeit der geltend gemachten Vorbringen. Die Schilderungen der Beschwerdeführerin seien insgesamt vage, wenig substantiiert und in sich widersprüchlich ausgefallen. Die Beschwerdeführerin habe bezüglich des Treffens am Strand unterschiedliche Angaben dazu gemacht, wer mit wem dort erschienen sei und in welcher Beziehung sie zu der anderen Frau, die ebenfalls am Treffen dabei gewesen sei, gestanden habe. Die Ausführun- gen zu diesem Treffen enthielten sodann weder konkrete Einzelheiten noch persönliche Eindrücke. Auch zu ihrem Schulfreund, der das Treffen orga- nisiert habe, habe sich die Beschwerdeführerin nur oberflächlich geäus- sert. Ihre Aussage, sie habe gewusst, dass dieser für die Partei CNDD- FDD tätig und Mitglied der Imbonerakure sei, jedoch habe sie nicht damit gerechnet, dass er sie in eine schwierige Situation bringen könnte, erweise sich als wenig glaubhaft. Ebenfalls nicht überzeugend sei ihre Erklärung, weshalb sie den Schulfreund trotz dessen Zugehörigkeit zur CNDD-FDD begleitet habe, obwohl sie selbst angegeben habe, Personen würden ge- tötet oder zum Verschwinden gebracht, wenn sie mit Mitgliedern dieser Partei in Kontakt träten. Die Ausführungen zum ersten Telefongespräch, anlässlich dessen sie das ihr unterbreitete Angebot abgelehnt habe, und zur Anzahl der erhaltenen Nachrichten seien ferner widersprüchlich ausge- fallen. Schliesslich sei nicht ersichtlich, inwiefern ein Zusammenhang zwi- schen dem Tod der anderen Frau und der ihr angebotenen Arbeit bestehen würde. Ebenso würden sich Widersprüche in den Vorbringen des Beschwerdefüh- rers finden. Er habe weder angeben können, wann er von seiner Ehefrau von den Vorfällen im Zusammenhang mit dem Arbeitsangebot des</w:t>
      </w:r>
    </w:p>
    <w:p>
      <w:r>
        <w:t>E-3577/2025 Seite 8 burundischen Geheimdienstes erfahren habe, noch wann er von den bei- den Männern an seinem Arbeitsplatz aufgesucht worden sei. Sodann habe er sich im Zusammenhang mit dem Besuch der beiden Männer am Woh- nort hinsichtlich der Funktion sowie des Geschlechts der Person, die die Männer gesehen haben solle, widersprüchlich geäussert. Bezüglich der von den Beschwerdeführenden in Kopie eingereichten Be- weismittel führte die Vorinstanz aus, diese würden über keine Sicherheits- merkmale verfügen und seien folglich vor Fälschungen nicht sicher sowie frei käuflich erhältlich. Aus den eingereichten Dokumenten lasse sich zu- dem keine gezielte, gegen die Beschwerdeführenden persönlich gerichtete Verfolgung ableiten.</w:t>
      </w:r>
    </w:p>
    <w:p>
      <w:r>
        <w:rPr>
          <w:b/>
        </w:rPr>
        <w:t>E. 6.2</w:t>
      </w:r>
    </w:p>
    <w:p>
      <w:r>
        <w:t>In der Rechtsmitteleingabe wurden die von der Vorinstanz in der ange- fochtenen Verfügung angeführten Unglaubhaftigkeitsmerkmale bestritten. Entgegen der Darstellung der Vorinstanz seien die Aussagen der Be- schwerdeführenden detailliert, substantiiert und in sich schlüssig. Die An- gaben zum Treffen am Strand würden sich auf identifizierbare Personen, ein Fahrzeug, welches die Beschwerdeführerin habe beschreiben können, einen Ort und eine Zeit beziehen. Die behaupteten Widersprüche im Zu- sammenhang mit der anderen Frau, die ebenfalls beim Treffen am Strand erschienen sei, liessen sich auf ein sprachliches Missverständnis zurück- führen. Aus der Aussage, es habe sich um «eine Freundin, die mit diesem Kollegen gekommen sei» gehandelt, werde deutlich, dass die Frau dem Freund der Beschwerdeführerin und nicht ihr selbst bekannt gewesen sei. Der Beschwerdeführerin könne ferner nicht vorgehalten werden, keine prä- zisen Daten oder zeitlichen Abstände zwischen Erlebnissen wiedergege- ben zu haben, da es nach einer längeren Zeit zu lückenhaften Erinnerun- gen komme und die Vorinstanz anlässlich der Anhörung vom 11. Septem- ber 2023 kundgetan habe, dass sie kein genaues Datum angeben müsse. Der Auffassung, es fehle hinsichtlich der Erläuterungen zum Schulfreund an differenzierten und substantiierten Aussagen, könne ebenfalls nicht ge- folgt werden. Die Beschwerdeführerin und der Schulfreund hätten zum Zeitpunkt der Arbeitsvermittlung zueinander in keiner engen Beziehung ge- standen, weshalb von ihr auch nicht verlangt werden könne, präzise Aus- künfte über seine Tätigkeiten und politischen Verbindungen zu geben. Da sie bis zu diesem Zeitpunkt noch keine Berührungspunkte mit politischen Angelegenheiten gehabt habe, sei auch nachvollziehbar, dass sie nicht da- von habe ausgehen müssen, dass ihr Schulfreund sie in diese unange- nehme Situation verwickeln würde. Ihre Unbesorgtheit lasse sich auf man- gelnde Kenntnisse über die potenzielle Gefährlichkeit von politischen</w:t>
      </w:r>
    </w:p>
    <w:p>
      <w:r>
        <w:t>E-3577/2025 Seite 9 Zugehörigkeiten wie jener ihres Schulfreundes zurückführen. Ferner seien die Aussagen betreffend das erste Telefonat mit den beiden Männern und die anschliessenden Nachrichten nicht widersprüchlich. So habe die Be- schwerdeführerin in der zweiten Anhörung namentlich klargestellt, dass sie von vielen Anrufen gesprochen habe und nicht von vielen Nachrichten. Die Erwähnung mehrerer Personen durch die Beschwerdeführerin im Zusam- menhang mit dem Telefonat widerspiegle die Alltagssprache, in der Dro- hungen häufig in der Mehrzahl beschrieben würden, wenn mehrere Perso- nen beteiligt seien. Die Aussagen des Beschwerdeführers zu den zwei Männern, die ihn bei der Arbeit aufgesucht hätten, würden ferner konkrete Angaben zu Ort und Zeit enthalten. Die abweichenden Angaben zum Geschlecht der Haus- haltshilfe liessen sich vermutlich auf sprachliche Differenzen zwischen der deutschen und der kirundischen Sprache zurückführen. In Kirundi gebe es möglicherweise keine klare Unterscheidung zwischen männlichen und weiblichen Bezeichnungen für bestimmte Rollen wie «Haushälter». Bei der Rückübersetzung habe der Beschwerdeführer die Aussage korrigiert und präzisiert, es habe sich um eine männliche Person gehandelt. Was die Würdigung der eingereichten Beweismittel durch die Vorinstanz anbelange, stelle sich die Frage, wie ein Facebook-Post, der von den Be- schwerdeführenden als Beweismittel herangezogen worden sei, als käuf- lich erworben angesehen werden könne.</w:t>
      </w:r>
    </w:p>
    <w:p>
      <w:r>
        <w:rPr>
          <w:b/>
        </w:rPr>
        <w:t>E. 7.1</w:t>
      </w:r>
    </w:p>
    <w:p>
      <w:r>
        <w:t>Das Bundesverwaltungsgericht gelangt nach Durchsicht der Akten zum Schluss, dass die Vorinstanz die geltend gemachten Asylvorbringen der Beschwerdeführenden zu Recht als nicht glaubhaft erachtet hat. Diesbe- züglich kann mit den nachfolgenden Ergänzungen grundsätzlich auf die Erwägungen in der angefochtenen Verfügung verwiesen werden. Die Aus- führungen auf Beschwerdeebene führen insgesamt zu keiner anderen Be- trachtungsweise.</w:t>
      </w:r>
    </w:p>
    <w:p>
      <w:r>
        <w:rPr>
          <w:b/>
        </w:rPr>
        <w:t>E. 7.2</w:t>
      </w:r>
    </w:p>
    <w:p>
      <w:r>
        <w:t>Für das Gericht ist insbesondere nicht nachvollziehbar, inwiefern der Geheimdienst tatsächlich ein Interesse an der Beschwerdeführerin gehabt haben soll, zumal sie gemäss den Akten nicht über besondere Fähigkeiten verfügt und weder sie noch ihre Familie ein politisches Profil aufweisen. In diesem Zusammenhang erscheint auch widersprüchlich, dass ihr trotz des behaupteten intensiven Interesses an ihr eine Bedenkzeit gewährt worden sei, sie dann aber aussagt, dass sie das Angebot nicht habe ablehnen</w:t>
      </w:r>
    </w:p>
    <w:p>
      <w:r>
        <w:t>E-3577/2025 Seite 10 können respektive die Ablehnung die geltend gemachte Bedrohung nach sich gezogen habe. Sodann ist nicht nachvollziehbar, was der Geheim- dienst mit den geltend gemachten Bedrohungen bewirken wollte, zumal davon auszugehen ist, dass dieser ein Interesse an verlässlich ausgeführ- ten Spionagetätigkeiten hat und eine Rekrutierung unabhängig von der persönlichen Motivation respektive mittels Drohungen und damit unter Zwang wenig zielführend erscheint. Auch leuchtet nicht ein, inwiefern sich der burundische Geheimdienst durch die Beschwerdeführerin bedroht ge- fühlt haben soll. So hatte sie gemäss eigenen Angaben keine genauen In- formationen zur tatsächlich von ihr erwarteten Tätigkeit oder anderen sen- siblen Informationen erhalten. Gegen ein ernsthaftes und gezieltes Verfol- gungsinteresse spricht auch die Tatsache, dass die Beschwerdeführenden eigenen Angaben zufolge auf legalem Weg aus ihrem Heimatstaat ausrei- sen konnten, ungeachtet der Hilfe die sie von dem Freund bekommen hät- ten. An dieser Einschätzung vermögen auch die Ausführungen, dass sich die Verfolgung nach ihrer Flucht fortgesetzt habe und Familienangehörige und Bekannte aufgesucht worden seien, nichts zu ändern. Mit Blick auf die beim SEM eingereichten Beweismittel ist der Vorinstanz schliesslich darin zuzustimmen, dass sich diesen Unterlagen ebenfalls keine gezielte Verfol- gung der Beschwerdeführenden entnehmen lässt. Nach dem Gesagten er- übrigen sich Ausführungen zu den übrigen Erklärungen und Einwendungen der Beschwerdeführenden.</w:t>
      </w:r>
    </w:p>
    <w:p>
      <w:r>
        <w:rPr>
          <w:b/>
        </w:rPr>
        <w:t>E. 7.3</w:t>
      </w:r>
    </w:p>
    <w:p>
      <w:r>
        <w:t>Folglich gelangt das Gericht zur Erkenntnis, dass es den Beschwerde- führenden nicht gelungen ist nachzuweisen oder glaubhaft zu machen, dass ihnen bei einer Rückkehr in ihr Heimatstaat asylrelevante Nachteile im Sinne von Art. 3 AsylG drohen. Die Vorinstanz hat die Flüchtlingseigen- schaft der Beschwerdeführenden demnach zu Recht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t>E-3577/2025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Das SEM wies in ihrer angefochtenen Verfügung zutreffend darauf hin, dass das Prinzip des flüchtlingsrechtlichen Non-Refoulement nur Per- sonen schützt, die die Flüchtlingseigenschaft erfüllen. Da es den Be- 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 Aus den Akten ergeben sich sodann keine Anhaltspunkte dafür, dass die Beschwerdeführenden für den Fall einer Ausschaffung in den Heimatstaat</w:t>
      </w:r>
    </w:p>
    <w:p>
      <w:r>
        <w:t>E-3577/2025 Seite 12 dort mit beachtlicher Wahrscheinlichkeit einer nach Art. 3 EMRK oder Art. 1 FoK verbotenen Strafe oder Behandlung ausgesetzt wären. Gemäss Pra- xis des Europäischen Gerichtshofes für Menschenrechte (EGMR) sowie jener des UN-Anti-Folterausschusses müssten die Beschwerdeführenden eine konkrete Gefahr («real risk») nachweisen oder glaubhaft machen, dass ihnen im Fall einer Rückschiebung Folter oder unmenschliche Be- handlung drohen würde (vgl. Urteil des EGMR Saadi gegen Italien 28. Feb- ruar 2008, Grosse Kammer 37201/06, §§ 124–127 m.w.H.). Dies gelingt ihnen vor dem Hintergrund der vorstehenden Erwägungen nicht. Die allge- meine Menschenrechtssituation in Burundi muss zwar als problematisch bezeichnet werden, lässt aber den Wegweisungsvollzug im heutigen Zeit- punkt nicht als unzulässig erscheinen (vgl. Urteil des BVGer D-6696/2024 vom 2. Dezember 2024 E. 7.2.2 m.w.H.). Bei Rückkehrenden ohne politi- sches Profil – was auf die Beschwerdeführenden zutrifft – bestehen keine hinreichenden Indizien, dass sie bei einer Rückkehr in ihr Heimatland der konkreten Gefahr von Misshandlungen ausgesetzt sein könnte (vgl. Urteile des BVGer D-3865/2024 vom 14. November 2024 E. 7.7.1 m.w.H. und E- 6074/2024 vom 1. November 2024 E. 6.2.3).</w:t>
      </w:r>
    </w:p>
    <w:p>
      <w:r>
        <w:rPr>
          <w:b/>
        </w:rPr>
        <w:t>E. 9.2.3</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Burundi herrscht zurzeit weder Krieg oder Bürgerkrieg noch eine Situation allgemeiner Gewalt. Das Bundesverwaltungsgericht geht denn in seiner Praxis auch nicht von einer generellen Unzumutbarkeit des Weg- weisungsvollzugs nach Burundi aus, auch wenn die allgemeine Lage in einigen Provinzen insbesondere in sicherheitspolitischer und wirtschaftli- cher Hinsicht heikel ist (vgl. statt vieler: Urteile des BVGer E-6339/2024 vom 12. Dezember 2024 E. 8.4.2 und E-4608/2024 vom 15. Oktober 2024 E. 7.3.2 m.w.H.).</w:t>
      </w:r>
    </w:p>
    <w:p>
      <w:r>
        <w:rPr>
          <w:b/>
        </w:rPr>
        <w:t>E. 9.3.2</w:t>
      </w:r>
    </w:p>
    <w:p>
      <w:r>
        <w:t>Ferner liegen auch in individueller Hinsicht keine Gründe vor, die ge- gen die Zumutbarkeit des Wegweisungsvollzugs sprechen, wobei diesbe- züglich auf die Erwägungen des SEM verwiesen werden kann.</w:t>
      </w:r>
    </w:p>
    <w:p>
      <w:r>
        <w:t>E-3577/2025 Seite 13 Hervorzuheben ist, dass den Beschwerdeführenden – nicht zuletzt mit Blick auf ihren Bildungsstand (abgeschlossene Sekundarschule, selbstän- dige Arbeitstätigkeit beziehungsweise praktische Arbeitserfahrung des Be- schwer-deführers) und das Beziehungsnetz im Heimatstaat – die wirt- schaftliche und soziale Reintegration in Burundi innert nützlicher Frist ge- lingen sollte. Schliesslich sprechen auch keine medizinischen Gründe ge- gen die Zumutbarkeit des Wegweisungsvollzugs. Die Beschwerdeführen- den machten keine gesundheitlichen Probleme geltend, auch nicht in Be- zug auf ihr Kind. Ferner ist das Kind der Beschwerdeführenden noch klein und wird mit seinen Bezugspersonen nach Burundi reisen, womit das Kin- deswohl dem Wegweisungsvollzug nicht entgegensteht.</w:t>
      </w:r>
    </w:p>
    <w:p>
      <w:r>
        <w:rPr>
          <w:b/>
        </w:rPr>
        <w:t>E. 9.3.3</w:t>
      </w:r>
    </w:p>
    <w:p>
      <w:r>
        <w:t>Nach dem Gesagten erweist sich der Vollzug der Wegweisung auch als zumutbar.</w:t>
      </w:r>
    </w:p>
    <w:p>
      <w:r>
        <w:rPr>
          <w:b/>
        </w:rPr>
        <w:t>E. 9.4</w:t>
      </w:r>
    </w:p>
    <w:p>
      <w:r>
        <w:t>Schliesslich obliegt es den Beschwerdeführenden, sich bei der zustän- digen Vertretung des Heimatstaates die für eine Rückkehr notwendigen Reisedokumente zu beschaffen (Art. 8 Abs. 4 AsylG; vgl. BVGE 2008/34 E. 12), weshalb der Vollzug der Wegweisung auch als möglich zu bezeich- 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den Beschwerdefüh- renden aufzuerlegen (Art. 63 Abs. 1 VwVG) und auf insgesamt Fr. 750.– festzusetzen (Art. 1–3 des Reglements vom 21. Februar 2008 über die Kosten und Entschädigungen vor dem Bundesverwaltungsgericht [VGKE, SR 173.320.2]), wobei der in gleicher Höhe am 27. Mai 2025 einbezahlte Kostenvorschuss zur Begleichung der Verfahrenskosten zu verwenden ist. (Dispositiv nächste Seite)</w:t>
      </w:r>
    </w:p>
    <w:p>
      <w:r>
        <w:t>E-3577/2025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