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E-3575/2015 vom 27. August 2015</w:t>
      </w:r>
    </w:p>
    <w:p>
      <w:r>
        <w:t>Bundesverwaltungsgericht, 2015-08-27, DE</w:t>
      </w:r>
    </w:p>
    <w:p>
      <w:r>
        <w:rPr>
          <w:b/>
        </w:rPr>
        <w:t xml:space="preserve">Quelle: </w:t>
      </w:r>
      <w:r>
        <w:t>https://mcp.opencaselaw.ch/entscheid/bvger_E-3575_2015</w:t>
      </w:r>
    </w:p>
    <w:p>
      <w:r>
        <w:t>FR: TAF E-3575/2015 du 27 août 2015</w:t>
      </w:r>
    </w:p>
    <w:p>
      <w:r>
        <w:t>IT: TAF E-3575/2015 del 27 agosto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und Art. 52 VwVG). Auf die Beschwerde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dem Dublin-Assoziierungsabkommen vom 26. Oktober 2004 (DAA, SR 0.142.392.68) kommt die Verordnung Dublin-III-VO zur Anwendung.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4.3</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4.5</w:t>
      </w:r>
    </w:p>
    <w:p>
      <w:r>
        <w:t>Der nach dieser Verordnung zuständige Mitgliedstaat ist verpflichtet, eine gesuchstellende Person, die in einem anderen Mitgliedstaat einen Antrag gestellt hat, nach Massgabe der Art. 21, 22 und 29 Dublin-III-VO aufzunehmen (Art. 18 Abs. 1 Bst. a Dublin-III-VO).</w:t>
      </w:r>
    </w:p>
    <w:p>
      <w:r>
        <w:rPr>
          <w:b/>
        </w:rPr>
        <w:t>E. 4.6</w:t>
      </w:r>
    </w:p>
    <w:p>
      <w:r>
        <w:t>Diese Verpflichtung nach Art. 18 Abs. 1 Bst. c oder d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4.7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Die Beschwerdeführerin bestreitet vorliegend die Zuständigkeit der Niederlanden für die Durchführung ihres Asyl- und Wegweisungsverfahrens und wendet unter Bezugnahme auf Art. 9 i.V.m. Art. 2 Bst. g Dublin-III-VO - ihr minderjähriger Sohn lebe als anerkannter Flüchtling mit Asyl in der Schweiz und verfüge über eine Niederlassungsbewilligung - ein, dass die Schweiz originär für die Behandlung ihres Asylgesuchs zuständig sei.</w:t>
      </w:r>
    </w:p>
    <w:p>
      <w:r>
        <w:rPr>
          <w:b/>
        </w:rPr>
        <w:t>E. 5.2</w:t>
      </w:r>
    </w:p>
    <w:p>
      <w:r>
        <w:t>Ein Abgleich mit dem CS-VIS ergab, dass die Niederlanden der Beschwerdeführerin ein Schengen-Visum - gültig vom (...) November bis (...) Dezember 2014 - ausgestellt hatten. Sodann bestätigten die niederländischen Behörden mit Schreiben vom 18. Februar 2015 an das SEM, dass die niederländische Botschaft in D._______, der Beschwerdeführerin am (...) 2014 ein Schengen-Visum - gültig vom (...) November bis (...) Dezember 2014 - ausgestellt hatte. Am 27. Februar 2015 - ergänzt mit Schreiben vom 23. April 2015 - ersuchte das SEM gestützt auf Art. 12 Abs. 2 Dublin-III-VO die Niederlanden um Übernahme der Beschwerdeführerin. Die niederländischen Behörden liessen die Frist zur Stellungnahme ungenutzt verstreichen (stimmten jedoch am 30. April 2015 dem Übernahmeersuchen nachträglich explizit zu).</w:t>
      </w:r>
    </w:p>
    <w:p>
      <w:r>
        <w:rPr>
          <w:b/>
        </w:rPr>
        <w:t>E. 5.3</w:t>
      </w:r>
    </w:p>
    <w:p>
      <w:r>
        <w:t>Wie nachfolgend aufzuzeigen sein wird, erweist sich die Beschwerde im Hauptpunkt als begründet. Aufgrund der vorliegenden Aktenlage hätte das SEM in Anwendung der Zuständigkeitskriterien der Dublin-III-VO kein Übernahmeersuchen an die niederländischen Behörden stellen dürfen. Bei dieser Sachlage kann offen bleiben, ob die Einwendungen der Beschwerdeführerin hinsichtlich der Gehörsverletzung beziehungsweise der Verletzung der Abklärungspflicht zutreffen.</w:t>
      </w:r>
    </w:p>
    <w:p>
      <w:r>
        <w:rPr>
          <w:b/>
        </w:rPr>
        <w:t>E. 6.1</w:t>
      </w:r>
    </w:p>
    <w:p>
      <w:r>
        <w:t>Die Vorinstanz hat anhand des Kriterienkatalogs des Kapitels III der Dublin-III-VO den für die Prüfung des Asylantrags zuständigen Mitgliedstaat zu ermitteln. Die Zuständigkeitsregeln bezüglich Familienangehörigen sind gegenüber anderen Bestimmungen vorrangig zu berücksichtigen (vgl. Art. 7 Abs. 3 Dublin-III-VO). Eine Berufung auf die Kriterien, welche die Familiengemeinschaft betreffen, beziehungsweise auf die Zuständigkeitsregeln bezüglich Familienangehörigen ist der Beschwerdeführerin im Übrigen nicht versagt; diese Vorschriften sind aufgrund ihres Inhalts direkt anwendbar ("self-executing"; vgl. BVGE 2010/27 E. 4-6). Von Interesse ist vorliegend das Zuständigkeitskriterium gemäss Art. 9 Dublin-III-VO. Hat ein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Als "internationaler Schutz" im Sinne dieser Bestimmung gilt die Anerkennung der Flüchtlingseigenschaft oder des subsidiären Schutzstatus (vgl. Art. 2 Bst. a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Art. 2 Bst. g Dublin-III-VO definiert als "Familienangehörige" Mitglieder der Familie des Antragstellers, die sich im Hoheitsgebiet der Mitgliedstaaten aufhalten, sofern die Familie bereits im Herkunftsland bestanden hat. Bei einem unverheirateten, minderjährigen Begünstigten internationalen Schutzes gelten als "Familienangehörige" der Vater, die Mutter oder ein anderer Erwachsener, der/die entweder nach dem Recht oder nach den Gepflogenheiten des Mitgliedstaats, in dem sich der Begünstigte aufhält, für ihn verantwortlich ist (Art. 2 Bst. g 4. Spiegelstrich Dublin-III-VO).</w:t>
      </w:r>
    </w:p>
    <w:p>
      <w:r>
        <w:rPr>
          <w:b/>
        </w:rPr>
        <w:t>E. 6.2.1</w:t>
      </w:r>
    </w:p>
    <w:p>
      <w:r>
        <w:t>Vorab ist festzuhalten, dass aufgrund des eingereichten Abstammungsgutachtens vorliegend keine Zweifel bestehen, dass es sich bei der Beschwerdeführerin um die Mutter von B._______, einen in der Schweiz anerkannten Flüchtling mit Asyl sowie einer Niederlassungsbewilligung, handelt. Der Sohn der Beschwerdeführerin wurde (...) in Eritrea geboren. Die Beschwerdeführerin musste eigenen Angaben zufolge das Land aufgrund der geltend gemachten Reflexverfolgung im Jahr (...) verlassen. Die Familie hat demnach bereits im Herkunftsland bestanden; lediglich das Zusammenleben wurde aufgrund der Ausreise der Beschwerdeführerin unterbrochen. Weitere Ausführungen zum Aspekt des Bestehens der Familie bereits im Herkunftsland - welcher in der Definition der Familienangehörigen in Art. 2 Bst. g Dublin-III-VO genannt, in der Umschreibung des Zuständigkeitskriteriums von Art. 9 Dublin-III-VO demgegenüber explizit nicht vorausgesetzt wird - können daher vorliegend unterbleiben.</w:t>
      </w:r>
    </w:p>
    <w:p>
      <w:r>
        <w:rPr>
          <w:b/>
        </w:rPr>
        <w:t>E. 6.2.2</w:t>
      </w:r>
    </w:p>
    <w:p>
      <w:r>
        <w:t>Sodann hält die Vorinstanz fest, dass aufgrund des Kammerentscheids der KESB (...) vom (...) 2015 Art. 2 Bst. g 4. Spiegelstrich Dublin-III-VO vorliegend nicht anwendbar sei. Gemäss dieser Bestimmung ist bei einem unverheirateten, minderjährigen Begünstigten internationalen Schutzes der Vater, die Mutter oder ein anderer Erwachsener, der/die entweder nach dem Recht oder nach den Gepflogenheiten des Mitgliedstaats, in dem sich der Begünstigte aufhält, für ihn verantwortlich ist, Familienangehöriger. Die Vorinstanz vertritt die Auffassung, die Beschwerdeführerin als Mutter von B._______ falle nicht unter diese Definition. Den vorinstanzlichen Erwägungen ist zu entnehmen, dass das SEM offensichtlich davon ausgeht, der Nebensatz "der/die entweder nach dem Recht oder nach den Gepflogenheiten des Mitgliedstaats, in dem sich der Begünstigte aufhält, für ihn verantwortlich ist" beziehe sich sowohl auf den Vater beziehungsweise die Mutter als auch auf den anderen Erwachsenen im Text der Definition. Dieser Auslegung des Verordnungstextes kann aus den nachstehenden Gründen nicht gefolgt werden.</w:t>
      </w:r>
    </w:p>
    <w:p>
      <w:r>
        <w:rPr>
          <w:b/>
        </w:rPr>
        <w:t>E. 6.2.3</w:t>
      </w:r>
    </w:p>
    <w:p>
      <w:r>
        <w:t>Besteht über den Sinn eines Rechtssatzes Unklarheit, ist eine Auslegung notwendig (grammatikalische, historische, zeitgemässe, systematische und teleologische Auslegungsmethode [sog. Methodenpluralismus], wobei die einzelnen Auslegungselemente keiner hierarchischen Prioritätenordnung unterstehen; vgl. hierzu statt vieler BVGE 2015/3 E. 5.2). Bei der grammatikalischen Auslegungsmethode ist das massgebliche Element der Gesetzestext. Dabei ist zu beachten, dass auch Titel, Sachüberschriften und Marginalien zu berücksichtigen sind. Weiter sind die Formulierungen aller Amtssprachen gleichwertig. Für die Auslegung der Dublin-III-VO sind demnach grundsätzlich die weiteren Amtssprachen der EU (in der EU werden aktuell 24 Sprachen als Amtssprachen anerkannt, vgl.http://ec.europa.eu/languages/policy/linguistic-diversity/official-langua- ges-eu_de.htm). Ein Vergleich mit dem Verordnungstext in den dem Gericht ohne weitere Übersetzungen zugänglichen Sprachen (Englisch, Französisch, Italienisch) legt für die grammatikalische Auslegung von Art. 2 Bst. g 4. Spiegelstrich Dublin-III-VO nahe, dass der erwähnte Nebensatz "der/die entweder nach dem Recht oder nach den Gepflogenheiten des Mitgliedstaats, in dem sich der Begünstigte aufhält, für ihn verantwortlich ist" sich einzig auf den "anderen Erwachsenen" bezieht, nicht aber auch eine einschränkende Klausel mit Bezug auf "den Vater" oder "die Mutter" im Verordnungstext ist. So werden für die Definition der "Familienangehörigen" in den genannten Sprachen folgende Umschreibungen aufgeführt: "the father, mother or another adult responsible for him or her ..." beziehungsweise "le père, la mère ou un autre adulte qui est responsable du bénéficiaire ..." beziehungsweise "il padre, la madre o un altro adulto responsabile per il beneficiario ...". Aufgrund dieser Formulierungen ist anzunehmen, dass auch im deutschen Wortlaut nur der die Verantwortlichkeit innehabende andere Erwachsene mit dem einschränkenden Nebensatz gemeint sein soll und die Eltern keine weiteren Kriterien erfüllen müssen, um als Familienangehörige im Sinne von Art. 2 Bst. g 4. Spiegelstrich Dublin-III-VO zu gelten. Im Übrigen ist in systematischer Hinsicht ohnehin nicht ersichtlich, weshalb Art. 2 Bst. g 4. Spiegelstrich Dublin-III-VO von Art. 2 Bst. g 3. Spiegelstrich Dublin-III-VO abweichen sollte; in der Formulierung des 3. Spiegelstrichs sind Vater und Mutter eines Minderjährigen auch im deutschen Wortlaut sprachlich eindeutig ohne weitere Einschränkungen als dessen "Familienangehörige" umschrieben. Schliesslich wies die Beschwerdeführerin zu Recht darauf hin, dass die Dublin-III-VO festhält, die Achtung des Familienlebens und des Kindswohls sollte eine vorrangige Erwägung der Mitgliedstaaten sein, wenn sie diese Verordnung anwenden, was ebenfalls in die systematische wie auch die teleologische Auslegung der Bestimmung einfliesst.</w:t>
      </w:r>
    </w:p>
    <w:p>
      <w:r>
        <w:rPr>
          <w:b/>
        </w:rPr>
        <w:t>E. 6.2.4</w:t>
      </w:r>
    </w:p>
    <w:p>
      <w:r>
        <w:t>Nach dem Gesagten ist das gemäss Legaldefinition von Art. 2 Bst. g 4. Spiegelstrich Dublin-III-VO erforderliche Kriterium zu bejahen, wonach die Beschwerdeführerin - als Mutter eines unverheirateten Minderjährigen, der in der Schweiz Begünstigter internationalen Schutzes ist - als eine "Familienangehörige" im Sinne dieser Bestimmung und damit im Sinne von Art. 9 Dublin-III-VO zu gelten hat.</w:t>
      </w:r>
    </w:p>
    <w:p>
      <w:r>
        <w:rPr>
          <w:b/>
        </w:rPr>
        <w:t>E. 6.3.1</w:t>
      </w:r>
    </w:p>
    <w:p>
      <w:r>
        <w:t>Weiter ist zu prüfen, ob vorliegend das gemäss Art. 9 Dublin-III-VO erforderliche Kriterium erfüllt ist, wonach die betreffenden Personen den Wunsch schriftlich kundtun müssen, dass für die Prüfung des Asyl- und Wegweisungsverfahrens des Antragstellers derjenige Mitgliedstaat zuständig sein soll, in welchem der Begünstigte internationalen Schutz geniesst. Dieser Voraussetzung kommt - insbesondere, wenn es um Minderjährige geht - ohne Zweifel auch eine Schutzfunktion zu.</w:t>
      </w:r>
    </w:p>
    <w:p>
      <w:r>
        <w:rPr>
          <w:b/>
        </w:rPr>
        <w:t>E. 6.3.2</w:t>
      </w:r>
    </w:p>
    <w:p>
      <w:r>
        <w:t>Im Verlauf des Asylverfahrens gab die Beschwerdeführerin stets an, bei ihrem Sohn, welcher in der Schweiz als Flüchtling anerkannt sei und über Asyl sowie eine Niederlassungsbewilligung verfüge, bleiben zu wollen. Sie ersuchte deshalb um Durchführung ihres Asyl- und Wegweisungsverfahrens in der Schweiz. Eine schriftliche Erklärung des (...)-jährigen Sohnes der Beschwerdeführerin liegt indes nicht vor. Vorliegend genügt allerdings die Einschätzung und Stellungnahme des Beistandes des Sohnes, welcher gemäss Kammerentscheid des KESB (...) vom (...) 2015 unter anderem eingesetzt wurde, um ihn in rechtlichen und administrativen Belangen bezüglich der ausländerrechtlichen Situation zu vertreten. Die Einschätzung, ob es dem Schutz des Minderjährigen dienen müsste, eine räumliche Nähe der Mutter im Rahmen ihres Asylverfahrens eben gerade zu verhindern, und demnach eine entsprechende schriftliche Erklärung im Sinne von Art. 9 Dublin-III-VO namens des Minderjährigen nicht zu erteilen, obliegt dem von der KESB eingesetzten Beistand. In seiner Stellungnahme vom (...) 2015 hielt der Beistand fest, dass der Gesundheitszustand des Sohnes der Beschwerdeführerin derzeit aufgrund von Anzeichen einer Traumatisierung sowie somatischen Beschwerden im (...)-Bereich abgeklärt werde. Ferner habe er seine Mutter seit ihrer Einreise in die Schweiz mehrmals getroffen. Er habe sich in Bezug auf seine Wünsche ihr gegenüber widersprüchlich geäussert. Meist wolle er nicht über sie reden, da er dabei "zu sehr in Zeugs" gerate. Dann wiederum liege er still vor sich hinbrütend, manchmal auch weinend auf dem Bett, wenn er mitbekomme, dass die anderen Kinder im Heim an den Wochenenden zu den Eltern nach Hause gehen könnten; dann klage er auch über (...)schmerzen. Aus fachlicher Sicht seien diese ambivalenten Anzeichen keinesfalls als Desinteresse an seiner Mutter zu verstehen. Er habe früh erleben müssen, wie unsicher es für ihn sei, sich auf eine Beziehung zu ihr einzulassen. Dies habe ihn stark geprägt und bestimme massgebend sein aus dieser Perspektive verständliches Verhalten. Ein Verbleib der Mutter in der Schweiz würde es ihm ermöglichen, eine Beziehung zu ihr aufzubauen. Die Mutter ihrerseits habe sich unmissverständlich positiv hierzu geäussert. Bei fachgerechter Begleitung von Mutter und Sohn bestehe in der anzubahnenden verlässlichen Beziehung zwischen ihnen die reale sowie beste Chance, dass er Vertrauen in sich und seine Umwelt entwickle und zu einem verantwortungsbewussten Mitglied unserer Gesellschaft werde. Aus Gründen des Kindswohls sei deshalb zu befürworten, dass die Mutter in der Schweiz dauerhaft verbleiben dürfe.</w:t>
      </w:r>
    </w:p>
    <w:p>
      <w:r>
        <w:rPr>
          <w:b/>
        </w:rPr>
        <w:t>E. 6.3.3</w:t>
      </w:r>
    </w:p>
    <w:p>
      <w:r>
        <w:t>Das Gericht hat keine Veranlassung, sich dieser Einschätzung durch die von der KESB eingesetzte Fachperson nicht anzuschliessen. Das Gericht erachtet es sodann als angezeigt, von einer persönlichen Anhörung des Sohnes der Beschwerdeführerin (vgl. Art. 12 des Übereinkommens vom 20. November 1989 über die Rechte des Kindes [KRK, SR 0.107]) abzusehen und ihn in seinem derzeit nachvollziehbarerweise verunsicherten psychischen Zustand nicht der "Verantwortung" für das Schicksal seiner Mutter im Rahmen eines persönlichen Gespräches auszusetzen. Die Einschätzungen seines Beistands sind durchaus nachvollziehbar und überzeugend und für die Bedürfnisse der Anwendung von Art. 9 Dublin-III-VO völlig ausreichend. Demnach ist vom genüglichen Vorliegen einer schriftlichen Erklärung der Beschwerdeführerin und ihres Sohnes (beziehungsweise des Beistandes ihres Sohnes) auszugehen, wonach für die Prüfung des Asylverfahrens der Beschwerdeführerin derjenige Mitgliedstaat, sprich die Schweiz, zuständig sein soll, in welchem ihr Sohn internationalen Schutz geniesst.</w:t>
      </w:r>
    </w:p>
    <w:p>
      <w:r>
        <w:rPr>
          <w:b/>
        </w:rPr>
        <w:t>E. 7.1</w:t>
      </w:r>
    </w:p>
    <w:p>
      <w:r>
        <w:t>In Anbetracht vorstehender Erwägungen hätte die Vorinstanz die vorliegend einschlägigen Bestimmungen von Art. 9 i.V.m. Art. 2 Bst. g 4. Spiegelstrich Dublin-III-VO anwenden müssen, wonach die Schweiz originär für die Behandlung des Asyl- und Wegweisungsverfahrens der Beschwerdeführerin zuständig ist. Eine Überstellung der Beschwerdeführerin in die Niederlanden steht somit ausser Betracht. Die angefochtene Verfügung des SEM vom 20. Mai 2015 ist folglich aufzuheben und das Staatssekretariat anzuweisen, ein ordentliches nationales Asylverfahren in der Schweiz durchzuführen.</w:t>
      </w:r>
    </w:p>
    <w:p>
      <w:r>
        <w:rPr>
          <w:b/>
        </w:rPr>
        <w:t>E. 7.2</w:t>
      </w:r>
    </w:p>
    <w:p>
      <w:r>
        <w:t>Nachdem die originäre Zuständigkeit der Schweiz bejaht wurde, ist schliesslich nicht mehr zu prüfen, ob sich aus Art. 8 EMRK Gründe für einen Selbsteintritt ergeben könnten.</w:t>
      </w:r>
    </w:p>
    <w:p>
      <w:r>
        <w:rPr>
          <w:b/>
        </w:rPr>
        <w:t>E. 8.1</w:t>
      </w:r>
    </w:p>
    <w:p>
      <w:r>
        <w:t>Bei diesem Ausgang des Verfahrens sind gemäss Art. 63 Abs. 1 und 2 VwVG keine Kosten aufzuerlegen.</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 Lasten des SEM zuzusprechen.</w:t>
      </w:r>
    </w:p>
    <w:p>
      <w:r>
        <w:rPr>
          <w:b/>
        </w:rPr>
        <w:t>E. 8.3</w:t>
      </w:r>
    </w:p>
    <w:p>
      <w:r>
        <w:t>In der Kostennote vom 4. Juni 2015 wird ein zeitlicher Aufwand von 12 Stunden zu einem Stundenansatz von Fr. 250.- sowie Auslagen in Höhe von Fr. 50.- ausgewiesen. Neben dem ausgewiesenen Aufwand für das Gespräch mit der Mandantin (2,5 Std.) und für das Aktenstudium (1,5 Std.) erweist sich der weitere zeitliche Aufwand von 8 Stunden für das Verfassen der 12-seitigen Beschwerdeschrift als nicht vollumfänglich angemessen und wird daher praxisgemäss vom Gericht (auf 6 Std.) herabgesetzt; im Übrigen handelt es sich beim Erstellen der Honorarnote um nicht gesondert zu entschädigende Kanzleiarbeit. Hingegen ist der nachträglich weiter entstandene Aufwand für die Eingaben vom 10. Juni 2015 (1 S.), 14. Juli 2015 (2 S.) und 21. Juli 2015 (1 S.) zu entschädigen. Insgesamt ist ein zeitlicher Aufwand für das gesamte Verfahren von 12 Stunden als angemessen zu erachten; der ausgewiesene Stundenansatz von Fr. 250.- erweist sich als reglementskonform (vgl. Art. 10 Abs. 2 VGKE). Unter Berücksichtigung der Bemessungsgrundsätze nach Art. 7 ff. VGKE ist eine Parteientschädigung zu Lasten des SEM in Höhe von Fr. 3'290.- (inkl. Mehrwertsteuer) zuzusprechen. Das Honorar für die unentgeltliche Rechtsverbeiständung ist mit Ausrichtung der Parteientschädigung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