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E-3570/2013 vom 19. Februar 2014</w:t>
      </w:r>
    </w:p>
    <w:p>
      <w:r>
        <w:t>Bundesverwaltungsgericht, 2014-02-19, DE</w:t>
      </w:r>
    </w:p>
    <w:p>
      <w:r>
        <w:rPr>
          <w:b/>
        </w:rPr>
        <w:t xml:space="preserve">Quelle: </w:t>
      </w:r>
      <w:r>
        <w:t>https://mcp.opencaselaw.ch/entscheid/bvger_E-3570_2013</w:t>
      </w:r>
    </w:p>
    <w:p>
      <w:r>
        <w:t>FR: TAF E-3570/2013 du 19 février 2014</w:t>
      </w:r>
    </w:p>
    <w:p>
      <w:r>
        <w:t>IT: TAF E-3570/2013 del 19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bzw. einer zweiten Richterin zu behandeln, weil sie sich im Ergebnis als offensichtlich begründet erweist (Art. 111 Bst. e AsylG).</w:t>
      </w:r>
    </w:p>
    <w:p>
      <w:r>
        <w:rPr>
          <w:b/>
        </w:rPr>
        <w:t>E. 2</w:t>
      </w:r>
    </w:p>
    <w:p>
      <w:r>
        <w:t>Die Kognition des Bundesverwaltungsgerichts und die zulässigen Rügen bestimmen sich nach Art. 106 Abs. 1 AsylG.</w:t>
      </w:r>
    </w:p>
    <w:p>
      <w:r>
        <w:rPr>
          <w:b/>
        </w:rPr>
        <w:t>E. 3.1</w:t>
      </w:r>
    </w:p>
    <w:p>
      <w:r>
        <w:t>Die Vorinstanz ist in Verfahren, die Staatsangehörige Sri Lankas tamilischer Ethnie betreffen, systematisch dazu übergegangen, keine Ausreisefristen mehr anzusetzen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22. Mai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BFM-Akten sowie die Beschwerde samt Beschwerdeergänzungen beziehungsweise Beweismitteln, welche ebenfalls Prozessstoff des vorinstanzlichen Verfahrens bilden,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VwVG). Das Gesuch um Gewährung der unentgeltlichen Prozessführung gemäss Art. 65 Abs. 1 VwVG erweist sich bei dieser Sachlage als gegenstandslos.</w:t>
      </w:r>
    </w:p>
    <w:p>
      <w:r>
        <w:rPr>
          <w:b/>
        </w:rPr>
        <w:t>E. 4.2</w:t>
      </w:r>
    </w:p>
    <w:p>
      <w:r>
        <w:t>Der Beschwerdeführer hat für die Beschwerdeerhebung keinen Rechtsvertreter in Anspruch genommen. Es ist daher nicht davon auszugehen, dass ihm Kosten im Sinne von Art. 64 Abs. 1 VwVG entstanden sind. Folglich ist ihm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