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E-3569/2015 vom 17. Juli 2015</w:t>
      </w:r>
    </w:p>
    <w:p>
      <w:r>
        <w:t>Bundesverwaltungsgericht, 2015-07-17, DE</w:t>
      </w:r>
    </w:p>
    <w:p>
      <w:r>
        <w:rPr>
          <w:b/>
        </w:rPr>
        <w:t xml:space="preserve">Quelle: </w:t>
      </w:r>
      <w:r>
        <w:t>https://mcp.opencaselaw.ch/entscheid/bvger_E-3569_2015</w:t>
      </w:r>
    </w:p>
    <w:p>
      <w:r>
        <w:t>FR: TAF E-3569/2015 du 17 juillet 2015</w:t>
      </w:r>
    </w:p>
    <w:p>
      <w:r>
        <w:t>IT: TAF E-3569/2015 del 17 luglio 2015</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w:t>
      </w:r>
    </w:p>
    <w:p>
      <w:r>
        <w:rPr>
          <w:b/>
        </w:rPr>
        <w:t>E. 4.1</w:t>
      </w:r>
    </w:p>
    <w:p>
      <w:r>
        <w:t>In der angefochtenen Verfügung wird ausgeführt, eine Familienzusammenführung sei nur möglich, wenn die Flüchtlingseigenschaft der hier lebenden Person anerkannt sei, die Familiengemeinschaft vor der Trennung bestanden habe und die Familie durch die Flucht getrennt worden sei. Die Beschwerdeführerin und ihr Ehemann hätten sich im Jahre 2006 in Eritrea kennen gelernt. Damals sei die Beschwerdeführerin in C._______ stationiert gewesen und habe alle sechs Monate für rund vier Wochen Urlaub erhalten. In dieser Zeit habe sie jeweils B._______ in D._______ getroffen. Im August 2009 hätten sie sich verlobt. Im Dezember 2009 sei die Hochzeit geplant gewesen. Indes sei diese nicht mehr möglich gewesen, da B._______ zwischenzeitlich inhaftiert worden sei. Im Mai 2010 sei die Beschwerdeführerin in den Sudan geflüchtet, um dort auf ihren Verlobten zu warten. Nachdem diesem im Februar 2011 ebenfalls die Flucht in den Sudan gelungen sei, hätten sie am 4. Juni 2011 geheiratet. Am 8. August 2011 habe die Beschwerdeführerin den Sudan alleine verlassen. Die Beschwerdeführerin und ihr Verlobter hätten demnach im Zeitpunkt ihrer Ausreise in keiner eheähnlichen Gemeinschaft gelebt. Das Erfordernis der vorbestandenen Familiengemeinschaft sei nicht erfüllt.</w:t>
      </w:r>
    </w:p>
    <w:p>
      <w:r>
        <w:rPr>
          <w:b/>
        </w:rPr>
        <w:t>E. 4.2</w:t>
      </w:r>
    </w:p>
    <w:p>
      <w:r>
        <w:t>In der Rechtsmitteleingabe beruft sich die Beschwerdeführerin zunächst auf Art. 8 EMRK. Sodann hält sie daran fest, bei ihrer Beziehung handle es sich dauerhafte eheähnliche Beziehung, welche ohne ihre Schuld getrennt worden sei.</w:t>
      </w:r>
    </w:p>
    <w:p>
      <w:r>
        <w:rPr>
          <w:b/>
        </w:rPr>
        <w:t>E. 4.2.1</w:t>
      </w:r>
    </w:p>
    <w:p>
      <w:r>
        <w:t>Der Grundsatz der Einheit der Familie hat Grundrechtscharakter. Die Familieneinheit wird sowohl verfassungsrechtlich (Art. 14 BV) als auch konventionsrechtlich durch das Recht auf Achtung der Privat- und Familienlebens (Art. 8 EMRK) geschützt. Auf den Schutz von Art. 8 EMRK kann sich nach bundesgerichtlicher Rechtsprechung berufen, wer ein gefestigtes Anwesenheitsrecht in der Schweiz hat. Praxisgemäss ist das der Fall, wenn die sich hier aufhaltende Person über eine Niederlassungsbewilligung, eine Aufenthaltsbewilligung oder einen Anspruch auf Erteilung oder Verlängerung einer solchen Bewilligung verfügt. Unter Schutz steht die Familieneinheit. Art. 8 EMRK verschafft weder einen Anspruch auf Einreise oder Aufenthaltsbewilligung noch einen Anspruch auf Aufenthalt an einem für die Ehegatten günstigen Ort (BGE 137 I 247 E. 4.1.1, BGE 126 II 335 E. 3a). Die Konvention hindert die Konventionsstaaten auch nicht daran, die Anwesenheit auf ihrem Staatsgebiet binnenstaatlich zu regeln (BGE 139 I 330 E. 2.1). Die schweizerische Rechtsordnung hat in Art. 51 AsylG die Voraussetzungen für die asylrechtliche Familienzusammenführung festgelegt. Aus Art. 8 EMRK vermag die Beschwerdeführerin somit nichts zu ihren Gunsten abzuleiten.</w:t>
      </w:r>
    </w:p>
    <w:p>
      <w:r>
        <w:rPr>
          <w:b/>
        </w:rPr>
        <w:t>E. 4.2.2</w:t>
      </w:r>
    </w:p>
    <w:p>
      <w:r>
        <w:t>Wer um die Erteilung einer Einreisebewilligung zwecks Familienasyl ersucht, trägt die Beweislast (Art. 7 AsylG) und die Mitwirkungslast durch substantiiertes Behaupten im Verfahren (Art. 8 AsylG). Das entspricht einem allgemeinen Rechtsgrundsatz, der im Verwaltungsrecht analog zur Anwendung kommt (Art. 8 ZGB). Ein Ansprecher, der über die Flüchtlingseigenschaft mit Asylstatus verfügt, hat demnach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(Botschaft, a.a.O., BBl 1996 II 70).</w:t>
      </w:r>
    </w:p>
    <w:p>
      <w:r>
        <w:rPr>
          <w:b/>
        </w:rPr>
        <w:t>E. 4.2.3</w:t>
      </w:r>
    </w:p>
    <w:p>
      <w:r>
        <w:t>Art. 51 Abs. 4 AsylG verlangt als Tatbestandsmerkmal die Trennung der Familiengemeinschaft durch Flucht (BVGE 2012/32 E. 5). Durch Flucht getrennt wurden die Beschwerdeführerin und B._______ im Mai 2010, nämlich zu dem Zeitpunkt, als die Beschwerdeführerin aus ihrem Heimatland Eritrea flüchtete und sich ihr Verlobter im Gefängnis befand. Damals waren die Beschwerdeführerin und ihr Verlobter indes weder ein Ehepaar noch bildeten sie eine eheähnliche Gemeinschaft. Letztere liegt vor, wenn zwei Menschen nach Art von Ehepartnern zusammenleben, ohne jedoch formal verheiratet zu sein. Ein Zusammenleben mit ihrem Verlobten vor dem Verlassen ihres Heimatlandes macht die Beschwerdeführerin an keiner Stelle geltend. Geheiratet haben die Beschwerdeführerin und B._______ erst im Juni 2011 im Sudan. Die wenigen Wochen, die die Beschwerdeführerin von da an bis zur Ausreise aus dem Sudan am8. August 2011 mit ihrem Ehemann zusammengelebt hat, sind vorliegend unerheblich. Das Tatbestandmerkmal der Trennung durch Flucht ist somit nicht erfüllt. Demnach hat die Vorinstanz zu Recht B._______ die Einreise in die Schweiz nicht bewilligt und das Gesuch um Familiennachzug abgelehnt.</w:t>
      </w:r>
    </w:p>
    <w:p>
      <w:r>
        <w:rPr>
          <w:b/>
        </w:rPr>
        <w:t>E. 5</w:t>
      </w:r>
    </w:p>
    <w:p>
      <w:r>
        <w:t>Aus diesen Erwägungen ergibt sich, dass die angefochtene Verfügung Bundesrecht nicht verletzt und auch sonst nicht zu beanstanden ist (Art. 106 Abs. 1 AsylG). Die Beschwerde ist abzuweisen.</w:t>
      </w:r>
    </w:p>
    <w:p>
      <w:r>
        <w:rPr>
          <w:b/>
        </w:rPr>
        <w:t>E. 6.1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der Beschwerdeführerin aufzuerlegen (Art. 63 Abs. 1 VwVG). Mit dem Urteil ist der Antrag auf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