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E-3569/2013 vom 2. August 2013</w:t>
      </w:r>
    </w:p>
    <w:p>
      <w:r>
        <w:t>Bundesverwaltungsgericht, 2013-08-02, DE</w:t>
      </w:r>
    </w:p>
    <w:p>
      <w:r>
        <w:rPr>
          <w:b/>
        </w:rPr>
        <w:t xml:space="preserve">Quelle: </w:t>
      </w:r>
      <w:r>
        <w:t>https://mcp.opencaselaw.ch/entscheid/bvger_E-3569_2013</w:t>
      </w:r>
    </w:p>
    <w:p>
      <w:r>
        <w:t>FR: TAF E-3569/2013 du 2 août 2013</w:t>
      </w:r>
    </w:p>
    <w:p>
      <w:r>
        <w:t>IT: TAF E-3569/2013 del 2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 unter Vorbehalt nachfolgender Einschränkung - formgerecht eingereicht. Sie ist zwar nicht in einer Amtssprache des Bundes abgefasst, aus verfahrensökonomischen Gründen wurde jedoch auf eine Beschwerdeverbesserung verzichtet, zumal sie genügend klare, sinngemässe Rechtsbegehren und deren Begründung enthält.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w:t>
      </w:r>
    </w:p>
    <w:p>
      <w:r>
        <w:t>Die angefochtene Verfügung bezieht sich formell lediglich auf die Beschwerdeführerin. Indessen erwähnte diese stets auch ihre beiden minderjährigen Kinder, und aus der Asylgesuchsbegründung wird klar, dass sie auch für diese um Schutz ersucht. In ihrer Beschwerde schreibt sie explizit, sie und ihre Kinder bräuchten den Schutz der Schweiz. Die Vorinstanz führt in ihrer Verfügung aus, weil die Familienangehörigen der Beschwerdeführerin nie ihren Willen bekundet hätten, um Asyl ersuchen zu wollen, erlaube das Gesuch lediglich eine Einschätzung der Gefährdungssituation der Beschwerdeführerin. Da die Kinder jedoch erst (...)- beziehungsweise (...)-jährig sind, liegt es auf der Hand, dass das von der Beschwerdeführerin bei der Botschaft gestellte Asylgesuch auch für ihre minderjährigen Kinder gelten soll, selbst wenn diese keine eigenen Asylgründe vorbringen. Entsprechend ist festzuhalten, dass diese von der angefochtenen Verfügung miterfasst und somit zur Beschwerdeführung berechtigt sind. 6.1 Eine asylsuchende Person muss ihren Heimatstaat, um die Flüchtlingseigenschaft erfüllen zu können, gemäss völkerrechtlichen Grundsätzen verlassen haben. Hingegen kann eine sich noch in ihrem Heimatstaat befindliche Person verfolgt im Sinne von Art. 3 AsylG und demzufolge schutzbedürftig sein. Verfolgt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6.2 Gemäss Art. 19 Abs. 1 AsylG kann ein Asylgesuch im Ausland bei einer schweizerischen Vertretung gestellt werden, welche es mit einem Bericht an das Bundesamt überweist (Art. 20 Abs. 1 AsylG). Das BFM bewilligt Asylsuchenden die Einreise zur Abklärung des Sachverhaltes, wenn ihnen nicht zugemutet werden kann, im Wohnsitz- oder Aufenthaltsstaat zu bleiben oder in ein anderes Land auszureisen (Art. 20 Abs. 2 AsylG). Kann einer asylsuchenden Person, die sich im Ausland befindet, zugemutet werden, sich in einem anderen Staat um Aufnahme zu bemühen, so stellt dies im Weiteren einen Asylausschlussgrund dar (Art. 52 Abs. 2 AsylG). Die Voraussetzungen zur Erteilung einer Einreisebewilligung beziehungsweise zur Verneinung der Zumutbarkeit der Schutzsuche in einem Drittstaat sind restriktiv zu umschreiben, wobei den Behörden ein weiter Ermessensspielraum zukommt. Neben der erforderlichen Gefährdung im Sinn von Art. 3 AsylG sind namentlich - mithin weder abschliessend noch kumulativ - die Beziehungsnähe zur Schweiz, die Möglichkeit der Schutzgewährung durch einen anderen Staat, die Beziehungsnähe zu anderen Staaten, die praktische Möglichkeit und objektive Zumutbarkeit einer anderweitigen Schutzsuche sowie die voraussichtlichen Eingliederungs- und Assimilationsmöglichkeiten in Betracht zu ziehen (vgl. Entscheidungen und Mitteilungen der [vormaligen] Schweizerischen Asylrekurskommission [EMARK] 1997 Nr. 15 E. 2.b-f S. 129 ff., welcher angesichts bloss redaktioneller Änderungen bei der letzten Totalrevision des Asylgesetzes nach wie vor Gültigkeit hat). Ausschlaggebend für die Erteilung der Einreisebewilligung ist dabei die Schutzbedürftigkeit der betroffenen Personen, mithin die Prüfung der Frage, ob eine Gefährdung im Sinne von Art. 3 AsylG glaubhaft gemacht wird und ob der Verbleib am Aufenthaltsort für die Dauer der Sachverhaltsabklärung zugemutet werden kann. 6.3 Hält sich eine asylsuchende Person bereits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7.1 Die Vorinstanz begründete ihren negativen Entscheid im Wesentlichen damit, ein Einreise- beziehungsweise Asylgesuch aus dem Ausland könne abgelehnt werden, wenn der asylsuchenden Person zugemutet werden könne, sich um den Schutz eines Drittstaates zu bemühen. Wenn diese Bedingung erfüllt sei, könne von der materiellen Prüfung der Flüchtlingseigenschaft abgesehen werden. Die Beschwerdeführerin verfüge über keine Beziehungen zur Schweiz; insbesondere würden keine Verwandten von ihr in der Schweiz leben. Sie halte sich gemeinsam mit ihren Kindern seit August 2009 in Indien auf. Den Akten seien keine konkreten oder glaubhaft dargelegten Anhaltspunkte dafür zu entnehmen, wonach sie in Indien einreiserelevante Nachteile erlitten hätte, ihr dort solche drohen würden oder sie sich in Indien vergeblich darum bemüht hätte, als Flüchtling registriert zu werden. Sie würde mittlerweile seit bald vier Jahren in Indien leben, und es sei davon auszugehen, dass sie sich eine wirtschaftliche Existenzgrundlage habe erschaffen können und über ein entsprechendes tragfähiges Beziehungsnetz verfügen würde. Es sei ihr ausserdem zuzumuten, sich in Indien als Flüchtling registrieren zu lassen, falls dies erforderlich sein sollte. De facto habe sie somit die Möglichkeit, in Indien Schutz zu erhalten. Zwar habe Indien die Flüchtlingskonvention nicht unterzeichnet und verfüge über kein eigentliches nationales Asylrecht. Die Rechte von Flüchtlingen und Asylsuchenden stünden jedoch unter dem Schutz der indischen Verfassung und der indische Supreme Court habe 1996 ein landesrechtliches Non-Refoulement-Gebot für Flüchtlinge im Sinne der Flüchtlingskonvention festgestellt. Gemäss Erkenntnissen des BFM und gestützt auf Auskünfte der Schweizerischen Vertretungen in Mumbai und Colombo gelte Indien für tamilische Flüchtlinge als sicher und führe keine zwangsweisen Rückführungen nach Sri Lanka durch. Die Beschwerdeführerin habe mit ihren Kindern bereits einige Zeit ohne ernsthafte Schwierigkeiten in Indien leben können. Sie habe weder vorgebracht noch bestehe Anlass zur Annahme, dass sie gegen ihren Willen in ihre Heimat zurückgeschafft werden könnte. Es sei ihr und ihren Kindern somit zuzumuten, weiterhin in Indien zu bleiben oder in einem anderen Land um Schutz nachzusuchen. An diesen Erwägungen würden die von ihr eingereichten Dokumente nichts zu ändern vermögen, stützten sie doch lediglich Vorbringen, deren Glaubhaftigkeit vorliegend nicht in Frage gestellt werde. 7.2 In ihrer Rechtsmitteleingabe legte die Beschwerdeführerin dar, sie könne weder länger in Indien bleiben noch nach Sri Lanka zurückkehren. Zur Begründung machte sie denselben Sachverhalt geltend, den sie bereits beim BFM vorgebracht hatte.</w:t>
      </w:r>
    </w:p>
    <w:p>
      <w:r>
        <w:rPr>
          <w:b/>
        </w:rPr>
        <w:t>E. 8.1</w:t>
      </w:r>
    </w:p>
    <w:p>
      <w:r>
        <w:t>Das Bundesverwaltungsgericht gelangt nach eingehender Prüfung der Akten in Übereinstimmung mit dem BFM zum Schluss, dass die Beschwerdeführenden nicht auf den Schutz der Schweiz angewiesen sind. Ob sie bei einer allfälligen Rückkehr nach Sri Lanka einer flüchtlingsrechtlich relevanten Gefährdung ausgesetzt sein könnten, kann vorliegend offengelassen werden, da es ihnen - wie im Nachfolgenden aufgezeigt wird - zuzumuten ist, in Indien zu verbleiben.</w:t>
      </w:r>
    </w:p>
    <w:p>
      <w:r>
        <w:rPr>
          <w:b/>
        </w:rPr>
        <w:t>E. 8.2</w:t>
      </w:r>
    </w:p>
    <w:p>
      <w:r>
        <w:t>Die Vorinstanz hat zutreffend festgestellt, die Beschwerdeführerin habe in ihrem Gesuch keine besonders nahen Beziehungen zur Schweiz geltend gemacht, was von ihr selber nicht bestritten wird. Die Beschwerdeführenden befinden sich seit dem Jahre 2009 in Indien. Das Bundesamt hat zu Recht erwogen, dass es ihnen zuzumuten sei, in Indien um Asyl nachzusuchen, sofern sie dies nicht bereits getan haben (vgl. Art. 52 Abs. 2 AsylG). Es kann diesbezüglich zur Vermeidung von Wiederholungen vollumfänglich auf die Erwägungen des BFM in der angefochtenen Verfügung verwiesen werden. Sodann ist, wenngleich nicht abzusprechen ist, dass die Lebensbedingungen für die Beschwerdeführerin mit ihren zwei Kindern in Indien schwierig sein mögen, nicht anzunehmen, dass sie ihren Lebensunterhalt nicht bestreiten können. Indien hat zwar weder das Abkommen vom 28. Juli 1951 über die Rechtsstellung der Flüchtlinge (FK, SR 0.142.30) noch das diesbezügliche Zusatzprotokoll vom 31. Januar 1967 ratifiziert und verfügt auch über kein eigentliches nationales Asylrecht. Die Rechte von Flüchtlingen und Asylsuchenden stehen jedoch unter dem Schutz der indischen Verfassung, und der indische Supreme Court hat 1996 ein landesrechtliches Non-Refoulement-Gebot für Flüchtlinge im Sinne der FK festgestellt. Nach den Erkenntnissen des Bundesverwaltungsgerichts ist es ferner - soweit tamilische Schutzsuchende betreffend - bislang zu keinen Verletzungen dieses Gebotes gekommen. Das UNHCR, welches in Indien über kein offizielles Mandat verfügt, aber dennoch unter anderem in Chennai (Bundesstaat Tamil Nadu) mit einem Büro vor Ort ist, überprüft vor der Rückkehr von Tamilen nach Sri Lanka jeweils deren Freiwilligkeit (vgl. Urteil des Bundesverwaltungsgerichts D-3830/2008 vom 5. Juli 2010 E. 3.3; US Committee for Refugees and Immigrants [USCRI], World Refugee Survey, 2009).</w:t>
      </w:r>
    </w:p>
    <w:p>
      <w:r>
        <w:rPr>
          <w:b/>
        </w:rPr>
        <w:t>E. 8.3</w:t>
      </w:r>
    </w:p>
    <w:p>
      <w:r>
        <w:t>Somit ergibt sich, dass die Beschwerdeführenden in ihrem Nachbarland Indien hinreichenden Schutz vor einer Rückschaffung nach Sri Lanka gefunden haben und nicht auf den Schutz der Schweiz angewiesen sind. Es ist davon auszugehen, dass sie mit einer anhaltenden Aufenthaltsberechtigung rechnen können. Das BFM stellte somit zutreffend fest, eine Abwägung der Gesamtumstände führe zum Schluss, dass ihnen ein Verbleib in Indien zuzumuten sei. Unter diesen Umständen hat es zu Recht die Erteilung einer Einreisebewilligung verweigert und das Asylgesuch der Beschwerdeführerin abgelehnt.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